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32"/>
          <w:szCs w:val="32"/>
          <w:u w:val="single"/>
        </w:rPr>
      </w:pPr>
    </w:p>
    <w:p>
      <w:pPr>
        <w:jc w:val="center"/>
        <w:rPr>
          <w:rFonts w:ascii="宋体" w:hAnsi="宋体"/>
          <w:sz w:val="40"/>
          <w:szCs w:val="40"/>
        </w:rPr>
      </w:pPr>
      <w:r>
        <w:rPr>
          <w:rFonts w:hint="eastAsia" w:ascii="宋体" w:hAnsi="宋体"/>
          <w:sz w:val="32"/>
          <w:szCs w:val="32"/>
        </w:rPr>
        <w:t>界首市通用机场项目（一期）10kV外线接入工程施工监理项目</w:t>
      </w:r>
      <w:r>
        <w:rPr>
          <w:rFonts w:hint="eastAsia" w:ascii="宋体" w:hAnsi="宋体"/>
          <w:sz w:val="40"/>
          <w:szCs w:val="40"/>
        </w:rPr>
        <w:t xml:space="preserve"> </w:t>
      </w:r>
    </w:p>
    <w:p>
      <w:pPr>
        <w:jc w:val="center"/>
        <w:rPr>
          <w:rFonts w:ascii="宋体" w:hAnsi="宋体"/>
          <w:sz w:val="36"/>
          <w:szCs w:val="36"/>
        </w:rPr>
      </w:pPr>
    </w:p>
    <w:p>
      <w:pPr>
        <w:jc w:val="center"/>
        <w:rPr>
          <w:rFonts w:ascii="宋体" w:hAnsi="宋体"/>
          <w:sz w:val="40"/>
          <w:szCs w:val="40"/>
        </w:rPr>
      </w:pPr>
    </w:p>
    <w:p>
      <w:pPr>
        <w:jc w:val="center"/>
        <w:rPr>
          <w:rFonts w:ascii="宋体" w:hAnsi="宋体"/>
          <w:sz w:val="40"/>
          <w:szCs w:val="40"/>
        </w:rPr>
      </w:pPr>
    </w:p>
    <w:p>
      <w:pPr>
        <w:jc w:val="center"/>
        <w:rPr>
          <w:rFonts w:ascii="宋体" w:hAnsi="宋体"/>
          <w:sz w:val="40"/>
          <w:szCs w:val="40"/>
        </w:rPr>
      </w:pPr>
    </w:p>
    <w:p>
      <w:pPr>
        <w:jc w:val="center"/>
        <w:rPr>
          <w:rFonts w:ascii="宋体" w:hAnsi="宋体"/>
          <w:sz w:val="40"/>
          <w:szCs w:val="40"/>
        </w:rPr>
      </w:pPr>
      <w:r>
        <w:rPr>
          <w:rFonts w:hint="eastAsia" w:ascii="宋体" w:hAnsi="宋体"/>
          <w:sz w:val="40"/>
          <w:szCs w:val="40"/>
        </w:rPr>
        <w:t>竞争性磋商文件</w:t>
      </w:r>
    </w:p>
    <w:p>
      <w:pPr>
        <w:jc w:val="center"/>
        <w:rPr>
          <w:rFonts w:ascii="宋体" w:hAnsi="宋体"/>
          <w:b/>
          <w:sz w:val="32"/>
          <w:szCs w:val="32"/>
        </w:rPr>
      </w:pPr>
    </w:p>
    <w:p>
      <w:pPr>
        <w:ind w:firstLine="2718" w:firstLineChars="846"/>
        <w:rPr>
          <w:rFonts w:ascii="宋体" w:hAnsi="宋体"/>
          <w:b/>
          <w:sz w:val="32"/>
          <w:szCs w:val="32"/>
        </w:rPr>
      </w:pPr>
    </w:p>
    <w:p>
      <w:pPr>
        <w:rPr>
          <w:rFonts w:ascii="宋体" w:hAnsi="宋体"/>
          <w:sz w:val="32"/>
          <w:szCs w:val="32"/>
        </w:rPr>
      </w:pPr>
      <w:r>
        <w:rPr>
          <w:rFonts w:hint="eastAsia" w:ascii="宋体" w:hAnsi="宋体"/>
          <w:sz w:val="32"/>
          <w:szCs w:val="32"/>
        </w:rPr>
        <w:t xml:space="preserve">  </w:t>
      </w:r>
    </w:p>
    <w:p>
      <w:pPr>
        <w:rPr>
          <w:rFonts w:ascii="宋体" w:hAnsi="宋体"/>
          <w:sz w:val="32"/>
          <w:szCs w:val="32"/>
        </w:rPr>
      </w:pPr>
    </w:p>
    <w:p>
      <w:pPr>
        <w:pStyle w:val="19"/>
        <w:ind w:firstLine="640"/>
        <w:rPr>
          <w:rFonts w:ascii="宋体" w:hAnsi="宋体"/>
          <w:sz w:val="32"/>
          <w:szCs w:val="32"/>
        </w:rPr>
      </w:pPr>
    </w:p>
    <w:p>
      <w:pPr>
        <w:pStyle w:val="19"/>
        <w:ind w:firstLine="640"/>
        <w:rPr>
          <w:rFonts w:ascii="宋体" w:hAnsi="宋体"/>
          <w:sz w:val="32"/>
          <w:szCs w:val="32"/>
        </w:rPr>
      </w:pPr>
    </w:p>
    <w:p>
      <w:pPr>
        <w:pStyle w:val="19"/>
        <w:ind w:firstLine="640"/>
        <w:rPr>
          <w:rFonts w:ascii="宋体" w:hAnsi="宋体"/>
          <w:sz w:val="32"/>
          <w:szCs w:val="32"/>
        </w:rPr>
      </w:pPr>
    </w:p>
    <w:p>
      <w:pPr>
        <w:pStyle w:val="19"/>
        <w:ind w:firstLine="640"/>
        <w:rPr>
          <w:rFonts w:ascii="宋体" w:hAnsi="宋体"/>
          <w:sz w:val="32"/>
          <w:szCs w:val="32"/>
        </w:rPr>
      </w:pPr>
    </w:p>
    <w:p>
      <w:pPr>
        <w:pStyle w:val="19"/>
        <w:ind w:firstLine="640"/>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b/>
          <w:sz w:val="32"/>
          <w:szCs w:val="32"/>
        </w:rPr>
        <w:t xml:space="preserve">            采购人：</w:t>
      </w:r>
      <w:r>
        <w:rPr>
          <w:rFonts w:hint="eastAsia" w:ascii="宋体" w:hAnsi="宋体"/>
          <w:b/>
          <w:sz w:val="32"/>
          <w:szCs w:val="32"/>
          <w:u w:val="single"/>
        </w:rPr>
        <w:t xml:space="preserve">安徽养城建设发展集团有限公司 </w:t>
      </w:r>
    </w:p>
    <w:p>
      <w:pPr>
        <w:rPr>
          <w:rFonts w:ascii="宋体" w:hAnsi="宋体" w:cs="宋体"/>
          <w:b/>
          <w:sz w:val="32"/>
          <w:szCs w:val="32"/>
        </w:rPr>
      </w:pPr>
    </w:p>
    <w:p>
      <w:pPr>
        <w:ind w:firstLine="964" w:firstLineChars="300"/>
        <w:rPr>
          <w:rFonts w:ascii="宋体" w:hAnsi="宋体"/>
          <w:b/>
          <w:sz w:val="32"/>
          <w:szCs w:val="32"/>
        </w:rPr>
      </w:pPr>
      <w:r>
        <w:rPr>
          <w:rFonts w:hint="eastAsia" w:ascii="宋体" w:hAnsi="宋体" w:cs="宋体"/>
          <w:b/>
          <w:sz w:val="32"/>
          <w:szCs w:val="32"/>
        </w:rPr>
        <w:t>采购代理机构：</w:t>
      </w:r>
      <w:r>
        <w:rPr>
          <w:rFonts w:hint="eastAsia" w:ascii="宋体" w:hAnsi="宋体" w:cs="宋体"/>
          <w:b/>
          <w:sz w:val="32"/>
          <w:szCs w:val="32"/>
          <w:u w:val="single"/>
        </w:rPr>
        <w:t>安徽科睿工程项目管理有限公司</w:t>
      </w:r>
    </w:p>
    <w:p>
      <w:pPr>
        <w:rPr>
          <w:rFonts w:ascii="宋体" w:hAnsi="宋体"/>
          <w:b/>
          <w:sz w:val="32"/>
          <w:szCs w:val="32"/>
        </w:rPr>
      </w:pPr>
    </w:p>
    <w:p>
      <w:pPr>
        <w:rPr>
          <w:rFonts w:ascii="宋体" w:hAnsi="宋体"/>
          <w:b/>
          <w:sz w:val="32"/>
          <w:szCs w:val="32"/>
        </w:rPr>
      </w:pPr>
    </w:p>
    <w:p>
      <w:pPr>
        <w:rPr>
          <w:rFonts w:ascii="宋体" w:hAnsi="宋体"/>
          <w:b/>
          <w:sz w:val="32"/>
          <w:szCs w:val="32"/>
          <w:u w:val="single"/>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r>
        <w:rPr>
          <w:rFonts w:ascii="宋体" w:hAnsi="宋体" w:cs="Arial"/>
          <w:b/>
          <w:sz w:val="32"/>
          <w:szCs w:val="32"/>
        </w:rPr>
        <w:t>20</w:t>
      </w:r>
      <w:r>
        <w:rPr>
          <w:rFonts w:hint="eastAsia" w:ascii="宋体" w:hAnsi="宋体" w:cs="Arial"/>
          <w:b/>
          <w:sz w:val="32"/>
          <w:szCs w:val="32"/>
        </w:rPr>
        <w:t>24年6月</w:t>
      </w:r>
      <w:r>
        <w:rPr>
          <w:rFonts w:ascii="宋体" w:hAnsi="宋体" w:cs="Arial"/>
          <w:b/>
          <w:sz w:val="32"/>
          <w:szCs w:val="32"/>
        </w:rPr>
        <w:t xml:space="preserve"> </w:t>
      </w:r>
    </w:p>
    <w:p>
      <w:pPr>
        <w:widowControl/>
        <w:jc w:val="left"/>
        <w:rPr>
          <w:rFonts w:ascii="宋体" w:hAnsi="宋体"/>
          <w:sz w:val="32"/>
          <w:szCs w:val="32"/>
        </w:rPr>
      </w:pPr>
      <w:r>
        <w:rPr>
          <w:rFonts w:ascii="宋体" w:hAnsi="宋体"/>
          <w:sz w:val="32"/>
          <w:szCs w:val="32"/>
        </w:rPr>
        <w:br w:type="page"/>
      </w:r>
    </w:p>
    <w:p>
      <w:pPr>
        <w:widowControl/>
        <w:jc w:val="left"/>
        <w:rPr>
          <w:rFonts w:ascii="宋体" w:hAnsi="宋体"/>
          <w:sz w:val="32"/>
          <w:szCs w:val="32"/>
        </w:rPr>
      </w:pPr>
    </w:p>
    <w:p>
      <w:pPr>
        <w:tabs>
          <w:tab w:val="left" w:pos="563"/>
        </w:tabs>
        <w:spacing w:before="54"/>
        <w:ind w:right="133"/>
        <w:jc w:val="center"/>
        <w:rPr>
          <w:rFonts w:ascii="宋体" w:hAnsi="宋体"/>
          <w:b/>
          <w:sz w:val="32"/>
        </w:rPr>
      </w:pPr>
      <w:r>
        <w:rPr>
          <w:rFonts w:ascii="宋体" w:hAnsi="宋体"/>
          <w:b/>
          <w:sz w:val="32"/>
        </w:rPr>
        <w:t>目</w:t>
      </w:r>
      <w:r>
        <w:rPr>
          <w:rFonts w:ascii="宋体" w:hAnsi="宋体"/>
          <w:b/>
          <w:sz w:val="32"/>
        </w:rPr>
        <w:tab/>
      </w:r>
      <w:r>
        <w:rPr>
          <w:rFonts w:ascii="宋体" w:hAnsi="宋体"/>
          <w:b/>
          <w:sz w:val="32"/>
        </w:rPr>
        <w:t>录</w:t>
      </w:r>
    </w:p>
    <w:p>
      <w:pPr>
        <w:spacing w:before="300" w:line="220" w:lineRule="exact"/>
        <w:ind w:left="220"/>
        <w:jc w:val="left"/>
        <w:rPr>
          <w:rFonts w:ascii="宋体" w:hAnsi="宋体" w:cs="宋体"/>
          <w:b/>
          <w:sz w:val="24"/>
          <w:szCs w:val="22"/>
        </w:rPr>
      </w:pPr>
      <w:r>
        <w:rPr>
          <w:rFonts w:hint="eastAsia" w:ascii="宋体" w:hAnsi="宋体" w:cs="宋体"/>
          <w:b/>
          <w:sz w:val="24"/>
          <w:szCs w:val="22"/>
        </w:rPr>
        <w:t>第一章</w:t>
      </w:r>
      <w:r>
        <w:rPr>
          <w:rFonts w:hint="eastAsia" w:ascii="宋体" w:hAnsi="宋体" w:cs="宋体"/>
          <w:b/>
          <w:sz w:val="24"/>
          <w:szCs w:val="22"/>
        </w:rPr>
        <w:tab/>
      </w:r>
      <w:r>
        <w:rPr>
          <w:rFonts w:hint="eastAsia" w:ascii="宋体" w:hAnsi="宋体" w:cs="宋体"/>
          <w:b/>
          <w:sz w:val="24"/>
          <w:szCs w:val="22"/>
        </w:rPr>
        <w:t>竞争性磋商公告</w:t>
      </w:r>
      <w:r>
        <w:rPr>
          <w:rFonts w:ascii="宋体" w:hAnsi="宋体"/>
          <w:b/>
          <w:sz w:val="22"/>
        </w:rPr>
        <w:t>....................................................</w:t>
      </w:r>
      <w:r>
        <w:rPr>
          <w:rFonts w:hint="eastAsia" w:ascii="宋体" w:hAnsi="宋体" w:cs="宋体"/>
          <w:b/>
          <w:sz w:val="24"/>
          <w:szCs w:val="22"/>
        </w:rPr>
        <w:tab/>
      </w:r>
      <w:r>
        <w:rPr>
          <w:rFonts w:hint="eastAsia" w:ascii="宋体" w:hAnsi="宋体" w:cs="宋体"/>
          <w:b/>
          <w:sz w:val="24"/>
          <w:szCs w:val="22"/>
        </w:rPr>
        <w:t xml:space="preserve"> </w:t>
      </w:r>
    </w:p>
    <w:p>
      <w:pPr>
        <w:spacing w:before="300" w:line="220" w:lineRule="exact"/>
        <w:ind w:left="220"/>
        <w:jc w:val="left"/>
        <w:rPr>
          <w:rFonts w:ascii="宋体" w:hAnsi="宋体" w:cs="宋体"/>
          <w:b/>
          <w:sz w:val="24"/>
          <w:szCs w:val="22"/>
        </w:rPr>
      </w:pPr>
      <w:r>
        <w:rPr>
          <w:rFonts w:hint="eastAsia" w:ascii="宋体" w:hAnsi="宋体" w:cs="宋体"/>
          <w:b/>
          <w:sz w:val="24"/>
          <w:szCs w:val="22"/>
        </w:rPr>
        <w:t>第二章</w:t>
      </w:r>
      <w:r>
        <w:rPr>
          <w:rFonts w:hint="eastAsia" w:ascii="宋体" w:hAnsi="宋体" w:cs="宋体"/>
          <w:b/>
          <w:sz w:val="24"/>
          <w:szCs w:val="22"/>
        </w:rPr>
        <w:tab/>
      </w:r>
      <w:r>
        <w:rPr>
          <w:rFonts w:hint="eastAsia" w:ascii="宋体" w:hAnsi="宋体" w:cs="宋体"/>
          <w:b/>
          <w:sz w:val="24"/>
          <w:szCs w:val="22"/>
        </w:rPr>
        <w:t>供应商须知</w:t>
      </w:r>
      <w:r>
        <w:rPr>
          <w:rFonts w:hint="eastAsia" w:ascii="宋体" w:hAnsi="宋体" w:cs="宋体"/>
          <w:b/>
          <w:sz w:val="24"/>
          <w:szCs w:val="22"/>
        </w:rPr>
        <w:tab/>
      </w:r>
      <w:r>
        <w:rPr>
          <w:rFonts w:ascii="宋体" w:hAnsi="宋体"/>
          <w:b/>
          <w:sz w:val="22"/>
        </w:rPr>
        <w:t>....................................................</w:t>
      </w:r>
      <w:r>
        <w:rPr>
          <w:rFonts w:hint="eastAsia" w:ascii="宋体" w:hAnsi="宋体" w:cs="宋体"/>
          <w:b/>
          <w:sz w:val="24"/>
          <w:szCs w:val="22"/>
        </w:rPr>
        <w:t xml:space="preserve"> </w:t>
      </w:r>
    </w:p>
    <w:p>
      <w:pPr>
        <w:spacing w:before="300" w:line="220" w:lineRule="exact"/>
        <w:ind w:left="220"/>
        <w:jc w:val="left"/>
        <w:rPr>
          <w:rFonts w:ascii="宋体" w:hAnsi="宋体" w:cs="宋体"/>
          <w:b/>
          <w:sz w:val="24"/>
          <w:szCs w:val="22"/>
        </w:rPr>
      </w:pPr>
      <w:r>
        <w:rPr>
          <w:rFonts w:hint="eastAsia" w:ascii="宋体" w:hAnsi="宋体" w:cs="宋体"/>
          <w:b/>
          <w:sz w:val="24"/>
          <w:szCs w:val="22"/>
        </w:rPr>
        <w:t>第三章</w:t>
      </w:r>
      <w:r>
        <w:rPr>
          <w:rFonts w:hint="eastAsia" w:ascii="宋体" w:hAnsi="宋体" w:cs="宋体"/>
          <w:b/>
          <w:sz w:val="24"/>
          <w:szCs w:val="22"/>
        </w:rPr>
        <w:tab/>
      </w:r>
      <w:r>
        <w:rPr>
          <w:rFonts w:hint="eastAsia" w:ascii="宋体" w:hAnsi="宋体" w:cs="宋体"/>
          <w:b/>
          <w:sz w:val="24"/>
          <w:szCs w:val="22"/>
        </w:rPr>
        <w:t>采购需求</w:t>
      </w:r>
      <w:r>
        <w:rPr>
          <w:rFonts w:ascii="宋体" w:hAnsi="宋体"/>
          <w:b/>
          <w:sz w:val="22"/>
        </w:rPr>
        <w:t>....................................................</w:t>
      </w:r>
      <w:r>
        <w:rPr>
          <w:rFonts w:hint="eastAsia" w:ascii="宋体" w:hAnsi="宋体" w:cs="宋体"/>
          <w:b/>
          <w:sz w:val="24"/>
          <w:szCs w:val="22"/>
        </w:rPr>
        <w:tab/>
      </w:r>
      <w:r>
        <w:rPr>
          <w:rFonts w:hint="eastAsia" w:ascii="宋体" w:hAnsi="宋体" w:cs="宋体"/>
          <w:b/>
          <w:sz w:val="24"/>
          <w:szCs w:val="22"/>
        </w:rPr>
        <w:t xml:space="preserve">  </w:t>
      </w:r>
    </w:p>
    <w:p>
      <w:pPr>
        <w:spacing w:before="300" w:line="220" w:lineRule="exact"/>
        <w:ind w:left="220"/>
        <w:jc w:val="left"/>
        <w:rPr>
          <w:rFonts w:ascii="宋体" w:hAnsi="宋体" w:cs="宋体"/>
          <w:b/>
          <w:sz w:val="24"/>
          <w:szCs w:val="22"/>
        </w:rPr>
      </w:pPr>
      <w:r>
        <w:rPr>
          <w:rFonts w:hint="eastAsia" w:ascii="宋体" w:hAnsi="宋体" w:cs="宋体"/>
          <w:b/>
          <w:sz w:val="24"/>
          <w:szCs w:val="22"/>
        </w:rPr>
        <w:t>第四章</w:t>
      </w:r>
      <w:r>
        <w:rPr>
          <w:rFonts w:hint="eastAsia" w:ascii="宋体" w:hAnsi="宋体" w:cs="宋体"/>
          <w:b/>
          <w:sz w:val="24"/>
          <w:szCs w:val="22"/>
        </w:rPr>
        <w:tab/>
      </w:r>
      <w:r>
        <w:rPr>
          <w:rFonts w:hint="eastAsia" w:ascii="宋体" w:hAnsi="宋体" w:cs="宋体"/>
          <w:b/>
          <w:sz w:val="24"/>
          <w:szCs w:val="22"/>
        </w:rPr>
        <w:t>评审方法和标准</w:t>
      </w:r>
      <w:r>
        <w:rPr>
          <w:rFonts w:ascii="宋体" w:hAnsi="宋体"/>
          <w:b/>
          <w:sz w:val="22"/>
        </w:rPr>
        <w:t>....................................................</w:t>
      </w:r>
      <w:r>
        <w:rPr>
          <w:rFonts w:hint="eastAsia" w:ascii="宋体" w:hAnsi="宋体" w:cs="宋体"/>
          <w:b/>
          <w:sz w:val="24"/>
          <w:szCs w:val="22"/>
        </w:rPr>
        <w:tab/>
      </w:r>
      <w:r>
        <w:rPr>
          <w:rFonts w:hint="eastAsia" w:ascii="宋体" w:hAnsi="宋体" w:cs="宋体"/>
          <w:b/>
          <w:sz w:val="24"/>
          <w:szCs w:val="22"/>
        </w:rPr>
        <w:t xml:space="preserve"> </w:t>
      </w:r>
    </w:p>
    <w:p>
      <w:pPr>
        <w:spacing w:before="300" w:line="220" w:lineRule="exact"/>
        <w:ind w:left="220"/>
        <w:jc w:val="left"/>
        <w:rPr>
          <w:rFonts w:ascii="宋体" w:hAnsi="宋体" w:cs="宋体"/>
          <w:b/>
          <w:sz w:val="24"/>
          <w:szCs w:val="22"/>
        </w:rPr>
      </w:pPr>
      <w:r>
        <w:rPr>
          <w:rFonts w:hint="eastAsia" w:ascii="宋体" w:hAnsi="宋体" w:cs="宋体"/>
          <w:b/>
          <w:sz w:val="24"/>
          <w:szCs w:val="22"/>
        </w:rPr>
        <w:t>第五章</w:t>
      </w:r>
      <w:r>
        <w:rPr>
          <w:rFonts w:hint="eastAsia" w:ascii="宋体" w:hAnsi="宋体" w:cs="宋体"/>
          <w:b/>
          <w:sz w:val="24"/>
          <w:szCs w:val="22"/>
        </w:rPr>
        <w:tab/>
      </w:r>
      <w:r>
        <w:rPr>
          <w:rFonts w:hint="eastAsia" w:ascii="宋体" w:hAnsi="宋体" w:cs="宋体"/>
          <w:b/>
          <w:sz w:val="24"/>
          <w:szCs w:val="22"/>
        </w:rPr>
        <w:t>政府采购合同</w:t>
      </w:r>
      <w:r>
        <w:rPr>
          <w:rFonts w:ascii="宋体" w:hAnsi="宋体"/>
          <w:b/>
          <w:sz w:val="22"/>
        </w:rPr>
        <w:t>....................................................</w:t>
      </w:r>
      <w:r>
        <w:rPr>
          <w:rFonts w:hint="eastAsia" w:ascii="宋体" w:hAnsi="宋体" w:cs="宋体"/>
          <w:b/>
          <w:sz w:val="24"/>
          <w:szCs w:val="22"/>
        </w:rPr>
        <w:tab/>
      </w:r>
      <w:r>
        <w:rPr>
          <w:rFonts w:hint="eastAsia" w:ascii="宋体" w:hAnsi="宋体" w:cs="宋体"/>
          <w:b/>
          <w:sz w:val="24"/>
          <w:szCs w:val="22"/>
        </w:rPr>
        <w:t xml:space="preserve"> </w:t>
      </w:r>
    </w:p>
    <w:p>
      <w:pPr>
        <w:spacing w:before="300" w:line="220" w:lineRule="exact"/>
        <w:ind w:left="220"/>
        <w:jc w:val="left"/>
        <w:rPr>
          <w:rFonts w:ascii="宋体" w:hAnsi="宋体" w:cs="宋体"/>
          <w:b/>
          <w:sz w:val="24"/>
          <w:szCs w:val="22"/>
        </w:rPr>
      </w:pPr>
      <w:r>
        <w:rPr>
          <w:rFonts w:hint="eastAsia" w:ascii="宋体" w:hAnsi="宋体" w:cs="宋体"/>
          <w:b/>
          <w:sz w:val="24"/>
          <w:szCs w:val="22"/>
        </w:rPr>
        <w:t>第六章</w:t>
      </w:r>
      <w:r>
        <w:rPr>
          <w:rFonts w:hint="eastAsia" w:ascii="宋体" w:hAnsi="宋体" w:cs="宋体"/>
          <w:b/>
          <w:sz w:val="24"/>
          <w:szCs w:val="22"/>
        </w:rPr>
        <w:tab/>
      </w:r>
      <w:r>
        <w:rPr>
          <w:rFonts w:hint="eastAsia" w:ascii="宋体" w:hAnsi="宋体" w:cs="宋体"/>
          <w:b/>
          <w:sz w:val="24"/>
          <w:szCs w:val="22"/>
        </w:rPr>
        <w:t>响应文件格式</w:t>
      </w:r>
      <w:r>
        <w:rPr>
          <w:rFonts w:hint="eastAsia" w:ascii="宋体" w:hAnsi="宋体" w:cs="宋体"/>
          <w:b/>
          <w:sz w:val="24"/>
          <w:szCs w:val="22"/>
        </w:rPr>
        <w:tab/>
      </w:r>
      <w:r>
        <w:rPr>
          <w:rFonts w:ascii="宋体" w:hAnsi="宋体"/>
          <w:b/>
          <w:sz w:val="22"/>
        </w:rPr>
        <w:t>....................................................</w:t>
      </w:r>
      <w:r>
        <w:rPr>
          <w:rFonts w:hint="eastAsia" w:ascii="宋体" w:hAnsi="宋体" w:cs="宋体"/>
          <w:b/>
          <w:sz w:val="24"/>
          <w:szCs w:val="22"/>
        </w:rPr>
        <w:t xml:space="preserve"> </w:t>
      </w:r>
    </w:p>
    <w:p>
      <w:pPr>
        <w:spacing w:before="300" w:line="220" w:lineRule="exact"/>
        <w:ind w:left="220"/>
        <w:jc w:val="left"/>
        <w:rPr>
          <w:rFonts w:ascii="宋体" w:hAnsi="宋体" w:cs="宋体"/>
          <w:b/>
          <w:sz w:val="24"/>
          <w:szCs w:val="22"/>
        </w:rPr>
      </w:pPr>
      <w:r>
        <w:rPr>
          <w:rFonts w:hint="eastAsia" w:ascii="宋体" w:hAnsi="宋体" w:cs="宋体"/>
          <w:b/>
          <w:sz w:val="24"/>
          <w:szCs w:val="22"/>
        </w:rPr>
        <w:tab/>
      </w:r>
      <w:r>
        <w:rPr>
          <w:rFonts w:hint="eastAsia" w:ascii="宋体" w:hAnsi="宋体" w:cs="宋体"/>
          <w:b/>
          <w:sz w:val="24"/>
          <w:szCs w:val="22"/>
        </w:rPr>
        <w:t xml:space="preserve"> </w:t>
      </w:r>
    </w:p>
    <w:p>
      <w:pPr>
        <w:widowControl/>
        <w:jc w:val="left"/>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19"/>
        <w:rPr>
          <w:rFonts w:ascii="宋体" w:hAnsi="宋体"/>
        </w:rPr>
      </w:pPr>
    </w:p>
    <w:p>
      <w:pPr>
        <w:pStyle w:val="3"/>
        <w:tabs>
          <w:tab w:val="left" w:pos="0"/>
        </w:tabs>
        <w:autoSpaceDE w:val="0"/>
        <w:autoSpaceDN w:val="0"/>
        <w:adjustRightInd w:val="0"/>
        <w:spacing w:before="0" w:after="0" w:line="360" w:lineRule="auto"/>
        <w:jc w:val="center"/>
        <w:rPr>
          <w:rFonts w:ascii="宋体" w:hAnsi="宋体"/>
          <w:sz w:val="32"/>
          <w:szCs w:val="32"/>
        </w:rPr>
      </w:pPr>
      <w:r>
        <w:rPr>
          <w:rFonts w:hint="eastAsia" w:ascii="宋体" w:hAnsi="宋体"/>
          <w:sz w:val="32"/>
          <w:szCs w:val="32"/>
        </w:rPr>
        <w:t xml:space="preserve">第一章 </w:t>
      </w:r>
      <w:bookmarkStart w:id="0" w:name="OLE_LINK1"/>
      <w:bookmarkStart w:id="1" w:name="OLE_LINK2"/>
      <w:r>
        <w:rPr>
          <w:rFonts w:hint="eastAsia" w:ascii="宋体" w:hAnsi="宋体"/>
          <w:sz w:val="32"/>
          <w:szCs w:val="32"/>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rPr>
      </w:pPr>
      <w:r>
        <w:rPr>
          <w:rFonts w:hint="eastAsia" w:ascii="宋体" w:hAnsi="宋体"/>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rPr>
      </w:pPr>
      <w:r>
        <w:rPr>
          <w:rFonts w:hint="eastAsia" w:ascii="宋体" w:hAnsi="宋体"/>
          <w:color w:val="000000" w:themeColor="text1"/>
          <w:u w:val="single"/>
          <w14:textFill>
            <w14:solidFill>
              <w14:schemeClr w14:val="tx1"/>
            </w14:solidFill>
          </w14:textFill>
        </w:rPr>
        <w:t>界首市通用机场项目（一期）10kV外线接入工程施工监理项目</w:t>
      </w:r>
      <w:r>
        <w:rPr>
          <w:rFonts w:hint="eastAsia" w:ascii="宋体" w:hAnsi="宋体"/>
          <w:color w:val="000000" w:themeColor="text1"/>
          <w14:textFill>
            <w14:solidFill>
              <w14:schemeClr w14:val="tx1"/>
            </w14:solidFill>
          </w14:textFill>
        </w:rPr>
        <w:t>的</w:t>
      </w:r>
      <w:r>
        <w:rPr>
          <w:rFonts w:hint="eastAsia" w:ascii="宋体" w:hAnsi="宋体"/>
        </w:rPr>
        <w:t>潜在供应商应在</w:t>
      </w:r>
      <w:r>
        <w:rPr>
          <w:rFonts w:hint="eastAsia"/>
          <w:u w:val="single"/>
        </w:rPr>
        <w:t>安徽养城建设发展集团有限公司</w:t>
      </w:r>
      <w:r>
        <w:rPr>
          <w:rFonts w:hint="eastAsia" w:ascii="宋体" w:hAnsi="宋体" w:cs="宋体"/>
          <w:kern w:val="0"/>
        </w:rPr>
        <w:t>网站</w:t>
      </w:r>
      <w:r>
        <w:fldChar w:fldCharType="begin"/>
      </w:r>
      <w:r>
        <w:instrText xml:space="preserve"> HYPERLINK "http://www.ahycjt.cn/" </w:instrText>
      </w:r>
      <w:r>
        <w:fldChar w:fldCharType="separate"/>
      </w:r>
      <w:r>
        <w:rPr>
          <w:rStyle w:val="23"/>
          <w:rFonts w:ascii="宋体" w:hAnsi="宋体" w:cs="宋体"/>
          <w:sz w:val="24"/>
          <w:szCs w:val="24"/>
        </w:rPr>
        <w:t>(http://www.http://www.ahycjt.cn//)</w:t>
      </w:r>
      <w:r>
        <w:rPr>
          <w:rStyle w:val="23"/>
          <w:rFonts w:ascii="宋体" w:hAnsi="宋体" w:cs="宋体"/>
          <w:sz w:val="24"/>
          <w:szCs w:val="24"/>
        </w:rPr>
        <w:fldChar w:fldCharType="end"/>
      </w:r>
      <w:r>
        <w:rPr>
          <w:rFonts w:hint="eastAsia" w:ascii="宋体" w:hAnsi="宋体"/>
        </w:rPr>
        <w:t>获取采购文件，并于</w:t>
      </w:r>
      <w:r>
        <w:rPr>
          <w:rFonts w:ascii="宋体" w:hAnsi="宋体"/>
          <w:u w:val="single"/>
        </w:rPr>
        <w:t>202</w:t>
      </w:r>
      <w:r>
        <w:rPr>
          <w:rFonts w:hint="eastAsia" w:ascii="宋体" w:hAnsi="宋体"/>
          <w:u w:val="single"/>
        </w:rPr>
        <w:t>4</w:t>
      </w:r>
      <w:r>
        <w:rPr>
          <w:rFonts w:hint="eastAsia" w:ascii="宋体" w:hAnsi="宋体"/>
          <w:bCs/>
          <w:u w:val="single"/>
        </w:rPr>
        <w:t>年6月</w:t>
      </w:r>
      <w:r>
        <w:rPr>
          <w:rFonts w:hint="eastAsia" w:ascii="宋体" w:hAnsi="宋体"/>
          <w:bCs/>
          <w:u w:val="single"/>
          <w:lang w:val="en-US" w:eastAsia="zh-CN"/>
        </w:rPr>
        <w:t>28</w:t>
      </w:r>
      <w:r>
        <w:rPr>
          <w:rFonts w:hint="eastAsia" w:ascii="宋体" w:hAnsi="宋体"/>
          <w:bCs/>
          <w:u w:val="single"/>
        </w:rPr>
        <w:t>日15点00分</w:t>
      </w:r>
      <w:r>
        <w:rPr>
          <w:rFonts w:hint="eastAsia" w:ascii="宋体" w:hAnsi="宋体"/>
          <w:bCs/>
        </w:rPr>
        <w:t>（北京时间）前提交响应文件</w:t>
      </w:r>
      <w:r>
        <w:rPr>
          <w:rFonts w:hint="eastAsia" w:ascii="宋体" w:hAnsi="宋体"/>
        </w:rPr>
        <w:t>。</w:t>
      </w:r>
    </w:p>
    <w:p>
      <w:pPr>
        <w:spacing w:line="360" w:lineRule="auto"/>
        <w:rPr>
          <w:rFonts w:ascii="宋体" w:hAnsi="宋体"/>
        </w:rPr>
      </w:pPr>
    </w:p>
    <w:p>
      <w:pPr>
        <w:pStyle w:val="4"/>
        <w:spacing w:line="360" w:lineRule="auto"/>
        <w:rPr>
          <w:rFonts w:ascii="宋体" w:hAnsi="宋体" w:eastAsia="宋体" w:cs="宋体"/>
          <w:bCs w:val="0"/>
          <w:sz w:val="21"/>
          <w:szCs w:val="21"/>
        </w:rPr>
      </w:pPr>
      <w:bookmarkStart w:id="2" w:name="_Toc35393629"/>
      <w:bookmarkStart w:id="3" w:name="_Toc35393798"/>
      <w:bookmarkStart w:id="4" w:name="_Toc28359012"/>
      <w:bookmarkStart w:id="5" w:name="_Toc28359089"/>
      <w:r>
        <w:rPr>
          <w:rFonts w:hint="eastAsia" w:ascii="宋体" w:hAnsi="宋体" w:eastAsia="宋体" w:cs="宋体"/>
          <w:bCs w:val="0"/>
          <w:sz w:val="21"/>
          <w:szCs w:val="21"/>
        </w:rPr>
        <w:t>一、项目基本情况</w:t>
      </w:r>
      <w:bookmarkEnd w:id="2"/>
      <w:bookmarkEnd w:id="3"/>
      <w:bookmarkEnd w:id="4"/>
      <w:bookmarkEnd w:id="5"/>
    </w:p>
    <w:p>
      <w:pPr>
        <w:spacing w:line="480" w:lineRule="auto"/>
        <w:ind w:firstLine="420" w:firstLineChars="200"/>
        <w:rPr>
          <w:rFonts w:ascii="宋体" w:hAnsi="宋体"/>
        </w:rPr>
      </w:pPr>
      <w:r>
        <w:rPr>
          <w:rFonts w:hint="eastAsia" w:ascii="宋体" w:hAnsi="宋体"/>
        </w:rPr>
        <w:t>项目名称：界首市通用机场项目（一期）10kV外线接入工程施工监理项目</w:t>
      </w:r>
    </w:p>
    <w:p>
      <w:pPr>
        <w:spacing w:line="480" w:lineRule="auto"/>
        <w:ind w:firstLine="420" w:firstLineChars="200"/>
        <w:rPr>
          <w:rFonts w:ascii="宋体" w:hAnsi="宋体"/>
        </w:rPr>
      </w:pPr>
      <w:r>
        <w:rPr>
          <w:rFonts w:hint="eastAsia" w:ascii="宋体" w:hAnsi="宋体"/>
        </w:rPr>
        <w:t>采购方式：竞争性磋商</w:t>
      </w:r>
    </w:p>
    <w:p>
      <w:pPr>
        <w:spacing w:line="480" w:lineRule="auto"/>
        <w:ind w:firstLine="420" w:firstLineChars="200"/>
        <w:rPr>
          <w:rFonts w:ascii="宋体" w:hAnsi="宋体"/>
        </w:rPr>
      </w:pPr>
      <w:r>
        <w:rPr>
          <w:rFonts w:hint="eastAsia" w:ascii="宋体" w:hAnsi="宋体"/>
        </w:rPr>
        <w:t>建设规模：</w:t>
      </w:r>
      <w:r>
        <w:rPr>
          <w:rFonts w:hint="eastAsia"/>
        </w:rPr>
        <w:t>界首市通用机场项目（一期）10kV外线接入工程施工包括强电设备采购及安装项目涉及的各类电力设备等。本次监理项目</w:t>
      </w:r>
      <w:r>
        <w:rPr>
          <w:rFonts w:hint="eastAsia" w:hAnsi="宋体" w:cs="宋体"/>
          <w:kern w:val="0"/>
        </w:rPr>
        <w:t>包括施工准备阶段、施工阶段监理服务和竣工报验、工程档案移交、审计阶段、工程保修阶段（缺陷责任期）等全过程监理。</w:t>
      </w:r>
    </w:p>
    <w:p>
      <w:pPr>
        <w:spacing w:line="480" w:lineRule="auto"/>
        <w:ind w:firstLine="420" w:firstLineChars="200"/>
        <w:rPr>
          <w:rFonts w:ascii="宋体" w:hAnsi="宋体"/>
        </w:rPr>
      </w:pPr>
      <w:r>
        <w:rPr>
          <w:rFonts w:hint="eastAsia" w:ascii="宋体" w:hAnsi="宋体"/>
        </w:rPr>
        <w:t>投资规模：约673万元。</w:t>
      </w:r>
    </w:p>
    <w:p>
      <w:pPr>
        <w:pStyle w:val="2"/>
        <w:spacing w:line="480" w:lineRule="auto"/>
        <w:rPr>
          <w:rFonts w:ascii="宋体" w:hAnsi="宋体"/>
        </w:rPr>
      </w:pPr>
      <w:r>
        <w:rPr>
          <w:rFonts w:hint="eastAsia"/>
        </w:rPr>
        <w:t>最高限价</w:t>
      </w:r>
      <w:r>
        <w:rPr>
          <w:rFonts w:hint="eastAsia" w:ascii="宋体" w:hAnsi="宋体"/>
        </w:rPr>
        <w:t>：</w:t>
      </w:r>
      <w:r>
        <w:rPr>
          <w:rFonts w:hint="eastAsia"/>
        </w:rPr>
        <w:t>3.2%</w:t>
      </w:r>
      <w:r>
        <w:rPr>
          <w:rFonts w:hint="eastAsia" w:ascii="宋体" w:hAnsi="宋体"/>
        </w:rPr>
        <w:t>（215000元）</w:t>
      </w:r>
    </w:p>
    <w:p>
      <w:pPr>
        <w:spacing w:line="480" w:lineRule="auto"/>
        <w:ind w:firstLine="420" w:firstLineChars="200"/>
      </w:pPr>
      <w:r>
        <w:rPr>
          <w:rFonts w:hint="eastAsia" w:ascii="宋体" w:hAnsi="宋体"/>
        </w:rPr>
        <w:t>计划施工工期:  60日历天</w:t>
      </w:r>
    </w:p>
    <w:p>
      <w:pPr>
        <w:widowControl/>
        <w:spacing w:line="480" w:lineRule="auto"/>
        <w:ind w:firstLine="420" w:firstLineChars="200"/>
        <w:jc w:val="left"/>
        <w:rPr>
          <w:rFonts w:ascii="宋体" w:hAnsi="宋体"/>
        </w:rPr>
      </w:pPr>
      <w:r>
        <w:rPr>
          <w:rFonts w:hint="eastAsia" w:ascii="宋体" w:hAnsi="宋体" w:cs="宋体"/>
          <w:color w:val="000000"/>
          <w:kern w:val="0"/>
          <w:lang w:bidi="ar"/>
        </w:rPr>
        <w:t>监理服务期限</w:t>
      </w:r>
      <w:r>
        <w:rPr>
          <w:rFonts w:hint="eastAsia" w:ascii="宋体" w:hAnsi="宋体"/>
        </w:rPr>
        <w:t>：自签订监理合同之日起，至保修期（缺陷责任期）结束。</w:t>
      </w:r>
    </w:p>
    <w:p>
      <w:pPr>
        <w:spacing w:line="480" w:lineRule="auto"/>
        <w:ind w:firstLine="420" w:firstLineChars="200"/>
        <w:rPr>
          <w:rFonts w:ascii="宋体" w:hAnsi="宋体"/>
        </w:rPr>
      </w:pPr>
      <w:r>
        <w:rPr>
          <w:rFonts w:hint="eastAsia" w:ascii="宋体" w:hAnsi="宋体"/>
        </w:rPr>
        <w:t>质量控制目标：合格</w:t>
      </w:r>
    </w:p>
    <w:p>
      <w:pPr>
        <w:spacing w:line="480" w:lineRule="auto"/>
        <w:ind w:firstLine="420" w:firstLineChars="200"/>
        <w:rPr>
          <w:rFonts w:ascii="宋体" w:hAnsi="宋体"/>
        </w:rPr>
      </w:pPr>
      <w:r>
        <w:rPr>
          <w:rFonts w:hint="eastAsia" w:ascii="宋体" w:hAnsi="宋体"/>
        </w:rPr>
        <w:t>本项目（不）接受联合体。</w:t>
      </w:r>
    </w:p>
    <w:p>
      <w:pPr>
        <w:pStyle w:val="4"/>
        <w:spacing w:line="360" w:lineRule="auto"/>
        <w:rPr>
          <w:rFonts w:ascii="宋体" w:hAnsi="宋体" w:eastAsia="宋体" w:cs="宋体"/>
          <w:bCs w:val="0"/>
          <w:sz w:val="21"/>
          <w:szCs w:val="21"/>
        </w:rPr>
      </w:pPr>
      <w:bookmarkStart w:id="6" w:name="_Toc35393630"/>
      <w:bookmarkStart w:id="7" w:name="_Toc35393799"/>
      <w:bookmarkStart w:id="8" w:name="_Toc28359090"/>
      <w:bookmarkStart w:id="9" w:name="_Toc28359013"/>
      <w:r>
        <w:rPr>
          <w:rFonts w:hint="eastAsia" w:ascii="宋体" w:hAnsi="宋体" w:eastAsia="宋体" w:cs="宋体"/>
          <w:bCs w:val="0"/>
          <w:sz w:val="21"/>
          <w:szCs w:val="21"/>
        </w:rPr>
        <w:t>二、申请人的资格要求：</w:t>
      </w:r>
      <w:bookmarkEnd w:id="6"/>
      <w:bookmarkEnd w:id="7"/>
      <w:bookmarkEnd w:id="8"/>
      <w:bookmarkEnd w:id="9"/>
    </w:p>
    <w:p>
      <w:pPr>
        <w:tabs>
          <w:tab w:val="left" w:pos="2400"/>
          <w:tab w:val="left" w:pos="3460"/>
          <w:tab w:val="left" w:pos="6660"/>
          <w:tab w:val="left" w:pos="8789"/>
        </w:tabs>
        <w:autoSpaceDE w:val="0"/>
        <w:autoSpaceDN w:val="0"/>
        <w:adjustRightInd w:val="0"/>
        <w:spacing w:line="480" w:lineRule="auto"/>
        <w:ind w:right="40" w:firstLine="420" w:firstLineChars="200"/>
        <w:jc w:val="left"/>
        <w:rPr>
          <w:rFonts w:cs="宋体"/>
          <w:bCs/>
          <w:kern w:val="0"/>
        </w:rPr>
      </w:pPr>
      <w:bookmarkStart w:id="10" w:name="_Toc28359014"/>
      <w:bookmarkStart w:id="11" w:name="_Toc28359091"/>
      <w:r>
        <w:rPr>
          <w:rFonts w:hint="eastAsia" w:cs="宋体"/>
          <w:bCs/>
          <w:kern w:val="0"/>
        </w:rPr>
        <w:t>1、供应商应具有有效的营业执照，有独立承担民事责任的能力；</w:t>
      </w:r>
    </w:p>
    <w:p>
      <w:pPr>
        <w:tabs>
          <w:tab w:val="left" w:pos="2400"/>
          <w:tab w:val="left" w:pos="3460"/>
          <w:tab w:val="left" w:pos="6660"/>
          <w:tab w:val="left" w:pos="8789"/>
        </w:tabs>
        <w:autoSpaceDE w:val="0"/>
        <w:autoSpaceDN w:val="0"/>
        <w:adjustRightInd w:val="0"/>
        <w:spacing w:line="480" w:lineRule="auto"/>
        <w:ind w:right="40" w:firstLine="420" w:firstLineChars="200"/>
        <w:rPr>
          <w:rFonts w:cs="宋体"/>
          <w:bCs/>
          <w:kern w:val="0"/>
        </w:rPr>
      </w:pPr>
      <w:r>
        <w:rPr>
          <w:rFonts w:hint="eastAsia" w:cs="宋体"/>
          <w:bCs/>
          <w:kern w:val="0"/>
        </w:rPr>
        <w:t>2、供应商资质须满足下列条件之一：</w:t>
      </w:r>
    </w:p>
    <w:p>
      <w:pPr>
        <w:tabs>
          <w:tab w:val="left" w:pos="2400"/>
          <w:tab w:val="left" w:pos="3460"/>
          <w:tab w:val="left" w:pos="6660"/>
          <w:tab w:val="left" w:pos="8789"/>
        </w:tabs>
        <w:autoSpaceDE w:val="0"/>
        <w:autoSpaceDN w:val="0"/>
        <w:adjustRightInd w:val="0"/>
        <w:spacing w:line="480" w:lineRule="auto"/>
        <w:ind w:right="40" w:firstLine="420" w:firstLineChars="200"/>
        <w:rPr>
          <w:rFonts w:cs="宋体"/>
          <w:bCs/>
          <w:kern w:val="0"/>
        </w:rPr>
      </w:pPr>
      <w:r>
        <w:rPr>
          <w:rFonts w:hint="eastAsia" w:cs="宋体"/>
          <w:bCs/>
          <w:kern w:val="0"/>
        </w:rPr>
        <w:t>①具有住房城乡建设行政主管部门颁发的电力工程专业监理乙级及以上资质；</w:t>
      </w:r>
    </w:p>
    <w:p>
      <w:pPr>
        <w:tabs>
          <w:tab w:val="left" w:pos="2400"/>
          <w:tab w:val="left" w:pos="3460"/>
          <w:tab w:val="left" w:pos="6660"/>
          <w:tab w:val="left" w:pos="8789"/>
        </w:tabs>
        <w:autoSpaceDE w:val="0"/>
        <w:autoSpaceDN w:val="0"/>
        <w:adjustRightInd w:val="0"/>
        <w:spacing w:line="480" w:lineRule="auto"/>
        <w:ind w:right="40" w:firstLine="420" w:firstLineChars="200"/>
        <w:rPr>
          <w:rFonts w:cs="宋体"/>
          <w:bCs/>
          <w:kern w:val="0"/>
          <w:highlight w:val="cyan"/>
        </w:rPr>
      </w:pPr>
      <w:r>
        <w:rPr>
          <w:rFonts w:hint="eastAsia" w:cs="宋体"/>
          <w:bCs/>
          <w:kern w:val="0"/>
        </w:rPr>
        <w:t>②具有工程监理综合资质。</w:t>
      </w:r>
    </w:p>
    <w:p>
      <w:pPr>
        <w:tabs>
          <w:tab w:val="left" w:pos="2400"/>
          <w:tab w:val="left" w:pos="3460"/>
          <w:tab w:val="left" w:pos="6660"/>
          <w:tab w:val="left" w:pos="8789"/>
        </w:tabs>
        <w:autoSpaceDE w:val="0"/>
        <w:autoSpaceDN w:val="0"/>
        <w:adjustRightInd w:val="0"/>
        <w:spacing w:line="480" w:lineRule="auto"/>
        <w:ind w:right="40" w:firstLine="420" w:firstLineChars="200"/>
        <w:jc w:val="left"/>
        <w:rPr>
          <w:rFonts w:cs="宋体"/>
          <w:bCs/>
          <w:kern w:val="0"/>
          <w:highlight w:val="cyan"/>
        </w:rPr>
      </w:pPr>
      <w:r>
        <w:rPr>
          <w:rFonts w:hint="eastAsia" w:cs="宋体"/>
          <w:bCs/>
          <w:kern w:val="0"/>
        </w:rPr>
        <w:t>3、总监理工程师的资格要求：具有国家注册监理工程师执业资格证书(电力工程专业或机电安装工程专业)。</w:t>
      </w:r>
    </w:p>
    <w:p>
      <w:pPr>
        <w:pStyle w:val="2"/>
        <w:spacing w:line="480" w:lineRule="auto"/>
      </w:pPr>
      <w:r>
        <w:rPr>
          <w:rFonts w:hint="eastAsia" w:cs="宋体"/>
          <w:bCs/>
          <w:kern w:val="0"/>
        </w:rPr>
        <w:t>4、本次采购不接受联合体。</w:t>
      </w:r>
    </w:p>
    <w:p>
      <w:pPr>
        <w:pStyle w:val="4"/>
        <w:spacing w:line="360" w:lineRule="auto"/>
        <w:rPr>
          <w:rFonts w:ascii="宋体" w:hAnsi="宋体" w:eastAsia="宋体" w:cs="宋体"/>
          <w:bCs w:val="0"/>
          <w:color w:val="000000" w:themeColor="text1"/>
          <w:sz w:val="21"/>
          <w:szCs w:val="21"/>
          <w14:textFill>
            <w14:solidFill>
              <w14:schemeClr w14:val="tx1"/>
            </w14:solidFill>
          </w14:textFill>
        </w:rPr>
      </w:pPr>
      <w:bookmarkStart w:id="12" w:name="_Toc35393631"/>
      <w:bookmarkStart w:id="13" w:name="_Toc35393800"/>
      <w:r>
        <w:rPr>
          <w:rFonts w:hint="eastAsia" w:ascii="宋体" w:hAnsi="宋体" w:eastAsia="宋体" w:cs="宋体"/>
          <w:bCs w:val="0"/>
          <w:color w:val="000000" w:themeColor="text1"/>
          <w:sz w:val="21"/>
          <w:szCs w:val="21"/>
          <w14:textFill>
            <w14:solidFill>
              <w14:schemeClr w14:val="tx1"/>
            </w14:solidFill>
          </w14:textFill>
        </w:rPr>
        <w:t>三、获取采购文件</w:t>
      </w:r>
      <w:bookmarkEnd w:id="10"/>
      <w:bookmarkEnd w:id="11"/>
      <w:bookmarkEnd w:id="12"/>
      <w:bookmarkEnd w:id="13"/>
    </w:p>
    <w:p>
      <w:pPr>
        <w:pStyle w:val="19"/>
        <w:spacing w:line="360" w:lineRule="auto"/>
        <w:ind w:left="0" w:leftChars="0"/>
        <w:rPr>
          <w:rFonts w:ascii="宋体" w:hAnsi="宋体" w:cs="宋体"/>
          <w:kern w:val="0"/>
        </w:rPr>
      </w:pPr>
      <w:bookmarkStart w:id="14" w:name="_Toc35393632"/>
      <w:bookmarkStart w:id="15" w:name="_Toc28359092"/>
      <w:bookmarkStart w:id="16" w:name="_Toc35393801"/>
      <w:bookmarkStart w:id="17" w:name="_Toc28359015"/>
      <w:r>
        <w:rPr>
          <w:rFonts w:hint="eastAsia" w:ascii="宋体" w:hAnsi="宋体" w:cs="宋体"/>
          <w:kern w:val="0"/>
        </w:rPr>
        <w:t>1、自采购公告发布之日起，凡有意参加的供应商，可在</w:t>
      </w:r>
      <w:r>
        <w:rPr>
          <w:rFonts w:hint="eastAsia"/>
          <w:u w:val="single"/>
        </w:rPr>
        <w:t>安徽养城建设发展集团有限公司</w:t>
      </w:r>
      <w:r>
        <w:rPr>
          <w:rFonts w:hint="eastAsia" w:ascii="宋体" w:hAnsi="宋体" w:cs="宋体"/>
          <w:kern w:val="0"/>
        </w:rPr>
        <w:t>网站</w:t>
      </w:r>
      <w:r>
        <w:fldChar w:fldCharType="begin"/>
      </w:r>
      <w:r>
        <w:instrText xml:space="preserve"> HYPERLINK "http://www.ahycjt.cn/" </w:instrText>
      </w:r>
      <w:r>
        <w:fldChar w:fldCharType="separate"/>
      </w:r>
      <w:r>
        <w:rPr>
          <w:rStyle w:val="23"/>
          <w:rFonts w:ascii="宋体" w:hAnsi="宋体" w:cs="宋体"/>
          <w:sz w:val="24"/>
          <w:szCs w:val="24"/>
        </w:rPr>
        <w:t>(http://www.ahycjt.cn/)</w:t>
      </w:r>
      <w:r>
        <w:rPr>
          <w:rStyle w:val="23"/>
          <w:rFonts w:ascii="宋体" w:hAnsi="宋体" w:cs="宋体"/>
          <w:sz w:val="24"/>
          <w:szCs w:val="24"/>
        </w:rPr>
        <w:fldChar w:fldCharType="end"/>
      </w:r>
      <w:r>
        <w:rPr>
          <w:rFonts w:hint="eastAsia" w:ascii="宋体" w:hAnsi="宋体"/>
        </w:rPr>
        <w:t>获取采购文件</w:t>
      </w:r>
      <w:r>
        <w:rPr>
          <w:rFonts w:hint="eastAsia" w:ascii="宋体" w:hAnsi="宋体" w:cs="宋体"/>
          <w:kern w:val="0"/>
        </w:rPr>
        <w:t>。</w:t>
      </w:r>
    </w:p>
    <w:p>
      <w:pPr>
        <w:pStyle w:val="19"/>
        <w:spacing w:line="360" w:lineRule="auto"/>
        <w:ind w:left="0" w:leftChars="0"/>
        <w:rPr>
          <w:rFonts w:ascii="宋体" w:hAnsi="宋体" w:cs="宋体"/>
          <w:kern w:val="0"/>
          <w:shd w:val="clear" w:color="auto" w:fill="FFFFFF"/>
        </w:rPr>
      </w:pPr>
      <w:r>
        <w:rPr>
          <w:rFonts w:hint="eastAsia" w:ascii="宋体" w:hAnsi="宋体"/>
          <w:szCs w:val="22"/>
        </w:rPr>
        <w:t>2、竞争性磋商文件发售费用500元/每份，售后不退，递交响应文件同时交纳。未交纳文件费的，采购人将拒绝接受其响应文件。</w:t>
      </w:r>
    </w:p>
    <w:p>
      <w:pPr>
        <w:pStyle w:val="4"/>
        <w:spacing w:line="360" w:lineRule="auto"/>
        <w:rPr>
          <w:rFonts w:ascii="宋体" w:hAnsi="宋体" w:eastAsia="宋体" w:cs="宋体"/>
          <w:bCs w:val="0"/>
          <w:sz w:val="21"/>
          <w:szCs w:val="21"/>
        </w:rPr>
      </w:pPr>
      <w:r>
        <w:rPr>
          <w:rFonts w:hint="eastAsia" w:ascii="宋体" w:hAnsi="宋体" w:eastAsia="宋体" w:cs="宋体"/>
          <w:bCs w:val="0"/>
          <w:sz w:val="21"/>
          <w:szCs w:val="21"/>
        </w:rPr>
        <w:t>四、响应文件提交</w:t>
      </w:r>
      <w:bookmarkEnd w:id="14"/>
      <w:bookmarkEnd w:id="15"/>
      <w:bookmarkEnd w:id="16"/>
      <w:bookmarkEnd w:id="17"/>
    </w:p>
    <w:p>
      <w:pPr>
        <w:spacing w:line="360" w:lineRule="auto"/>
        <w:ind w:firstLine="420" w:firstLineChars="200"/>
        <w:rPr>
          <w:rFonts w:ascii="宋体" w:hAnsi="宋体"/>
          <w:bCs/>
        </w:rPr>
      </w:pPr>
      <w:bookmarkStart w:id="18" w:name="_Toc35393802"/>
      <w:bookmarkStart w:id="19" w:name="_Toc35393633"/>
      <w:bookmarkStart w:id="20" w:name="_Toc28359093"/>
      <w:bookmarkStart w:id="21" w:name="_Toc28359016"/>
      <w:r>
        <w:rPr>
          <w:rFonts w:hint="eastAsia" w:ascii="宋体" w:hAnsi="宋体"/>
        </w:rPr>
        <w:t>1、截止时间：2024</w:t>
      </w:r>
      <w:r>
        <w:rPr>
          <w:rFonts w:hint="eastAsia" w:ascii="宋体" w:hAnsi="宋体"/>
          <w:bCs/>
        </w:rPr>
        <w:t>年6月</w:t>
      </w:r>
      <w:r>
        <w:rPr>
          <w:rFonts w:hint="eastAsia" w:ascii="宋体" w:hAnsi="宋体"/>
          <w:bCs/>
          <w:lang w:val="en-US" w:eastAsia="zh-CN"/>
        </w:rPr>
        <w:t>28</w:t>
      </w:r>
      <w:r>
        <w:rPr>
          <w:rFonts w:hint="eastAsia" w:ascii="宋体" w:hAnsi="宋体"/>
          <w:bCs/>
          <w:color w:val="000000" w:themeColor="text1"/>
          <w14:textFill>
            <w14:solidFill>
              <w14:schemeClr w14:val="tx1"/>
            </w14:solidFill>
          </w14:textFill>
        </w:rPr>
        <w:t>日15点00分</w:t>
      </w:r>
      <w:r>
        <w:rPr>
          <w:rFonts w:hint="eastAsia" w:ascii="宋体" w:hAnsi="宋体"/>
          <w:bCs/>
        </w:rPr>
        <w:t>（北京时间），迟于截止时间递交的响应文件，将不予接收。</w:t>
      </w:r>
    </w:p>
    <w:p>
      <w:pPr>
        <w:spacing w:line="360" w:lineRule="auto"/>
        <w:ind w:firstLine="420" w:firstLineChars="200"/>
        <w:rPr>
          <w:rFonts w:ascii="宋体" w:hAnsi="宋体"/>
          <w:bCs/>
          <w:highlight w:val="red"/>
          <w:u w:val="single"/>
        </w:rPr>
      </w:pPr>
      <w:r>
        <w:rPr>
          <w:rFonts w:hint="eastAsia" w:ascii="宋体" w:hAnsi="宋体"/>
        </w:rPr>
        <w:t>2、地点：界首市企业服务中心4楼，</w:t>
      </w:r>
      <w:r>
        <w:rPr>
          <w:rFonts w:hint="eastAsia" w:ascii="宋体" w:hAnsi="宋体"/>
          <w:bCs/>
        </w:rPr>
        <w:t>安徽养城建设发展集团有限公司会议室</w:t>
      </w:r>
    </w:p>
    <w:p>
      <w:pPr>
        <w:pStyle w:val="4"/>
        <w:spacing w:line="360" w:lineRule="auto"/>
        <w:rPr>
          <w:rFonts w:ascii="宋体" w:hAnsi="宋体" w:eastAsia="宋体" w:cs="宋体"/>
          <w:bCs w:val="0"/>
          <w:sz w:val="21"/>
          <w:szCs w:val="21"/>
        </w:rPr>
      </w:pPr>
      <w:r>
        <w:rPr>
          <w:rFonts w:hint="eastAsia" w:ascii="宋体" w:hAnsi="宋体" w:eastAsia="宋体" w:cs="宋体"/>
          <w:bCs w:val="0"/>
          <w:sz w:val="21"/>
          <w:szCs w:val="21"/>
        </w:rPr>
        <w:t>五、开启</w:t>
      </w:r>
      <w:bookmarkEnd w:id="18"/>
      <w:bookmarkEnd w:id="19"/>
      <w:bookmarkEnd w:id="20"/>
      <w:bookmarkEnd w:id="21"/>
    </w:p>
    <w:p>
      <w:pPr>
        <w:spacing w:line="360" w:lineRule="auto"/>
        <w:ind w:firstLine="420" w:firstLineChars="200"/>
        <w:rPr>
          <w:rFonts w:ascii="宋体" w:hAnsi="宋体"/>
          <w:bCs/>
          <w:u w:val="single"/>
        </w:rPr>
      </w:pPr>
      <w:r>
        <w:rPr>
          <w:rFonts w:hint="eastAsia" w:ascii="宋体" w:hAnsi="宋体"/>
        </w:rPr>
        <w:t>时间：</w:t>
      </w:r>
      <w:r>
        <w:rPr>
          <w:rFonts w:hint="eastAsia" w:ascii="宋体" w:hAnsi="宋体" w:cs="宋体"/>
          <w:kern w:val="0"/>
        </w:rPr>
        <w:t>同响应文件提交截止时间。</w:t>
      </w:r>
    </w:p>
    <w:p>
      <w:pPr>
        <w:spacing w:line="360" w:lineRule="auto"/>
        <w:ind w:firstLine="420" w:firstLineChars="200"/>
        <w:rPr>
          <w:rFonts w:ascii="宋体" w:hAnsi="宋体"/>
          <w:bCs/>
          <w:u w:val="single"/>
        </w:rPr>
      </w:pPr>
      <w:r>
        <w:rPr>
          <w:rFonts w:hint="eastAsia" w:ascii="宋体" w:hAnsi="宋体"/>
        </w:rPr>
        <w:t>地点：</w:t>
      </w:r>
      <w:r>
        <w:rPr>
          <w:rFonts w:hint="eastAsia" w:ascii="宋体" w:hAnsi="宋体" w:cs="宋体"/>
          <w:kern w:val="0"/>
        </w:rPr>
        <w:t>同响应文件提交地点。</w:t>
      </w:r>
    </w:p>
    <w:p>
      <w:pPr>
        <w:pStyle w:val="4"/>
        <w:spacing w:line="360" w:lineRule="auto"/>
        <w:rPr>
          <w:rFonts w:ascii="宋体" w:hAnsi="宋体" w:eastAsia="宋体" w:cs="宋体"/>
          <w:bCs w:val="0"/>
          <w:sz w:val="21"/>
          <w:szCs w:val="21"/>
        </w:rPr>
      </w:pPr>
      <w:bookmarkStart w:id="22" w:name="_Toc35393634"/>
      <w:bookmarkStart w:id="23" w:name="_Toc35393803"/>
      <w:bookmarkStart w:id="24" w:name="_Toc28359094"/>
      <w:bookmarkStart w:id="25" w:name="_Toc28359017"/>
      <w:r>
        <w:rPr>
          <w:rFonts w:hint="eastAsia" w:ascii="宋体" w:hAnsi="宋体" w:eastAsia="宋体" w:cs="宋体"/>
          <w:bCs w:val="0"/>
          <w:sz w:val="21"/>
          <w:szCs w:val="21"/>
        </w:rPr>
        <w:t>六、公告期限</w:t>
      </w:r>
      <w:bookmarkEnd w:id="22"/>
      <w:bookmarkEnd w:id="23"/>
      <w:bookmarkEnd w:id="24"/>
      <w:bookmarkEnd w:id="25"/>
    </w:p>
    <w:p>
      <w:pPr>
        <w:spacing w:line="360" w:lineRule="auto"/>
        <w:ind w:firstLine="420" w:firstLineChars="200"/>
        <w:rPr>
          <w:rFonts w:ascii="宋体" w:hAnsi="宋体" w:cs="宋体"/>
          <w:kern w:val="0"/>
        </w:rPr>
      </w:pPr>
      <w:r>
        <w:rPr>
          <w:rFonts w:hint="eastAsia" w:ascii="宋体" w:hAnsi="宋体" w:cs="宋体"/>
          <w:kern w:val="0"/>
        </w:rPr>
        <w:t>自本公告发布之</w:t>
      </w:r>
      <w:r>
        <w:rPr>
          <w:rFonts w:hint="eastAsia" w:ascii="宋体" w:hAnsi="宋体" w:cs="宋体"/>
          <w:color w:val="000000" w:themeColor="text1"/>
          <w:kern w:val="0"/>
          <w14:textFill>
            <w14:solidFill>
              <w14:schemeClr w14:val="tx1"/>
            </w14:solidFill>
          </w14:textFill>
        </w:rPr>
        <w:t>日起5个工作日</w:t>
      </w:r>
      <w:r>
        <w:rPr>
          <w:rFonts w:hint="eastAsia" w:ascii="宋体" w:hAnsi="宋体" w:cs="宋体"/>
          <w:kern w:val="0"/>
        </w:rPr>
        <w:t>。</w:t>
      </w:r>
    </w:p>
    <w:p>
      <w:pPr>
        <w:pStyle w:val="4"/>
        <w:spacing w:line="360" w:lineRule="auto"/>
        <w:rPr>
          <w:rFonts w:ascii="宋体" w:hAnsi="宋体" w:eastAsia="宋体" w:cs="宋体"/>
          <w:bCs w:val="0"/>
          <w:sz w:val="21"/>
          <w:szCs w:val="21"/>
        </w:rPr>
      </w:pPr>
      <w:bookmarkStart w:id="26" w:name="_Toc35393636"/>
      <w:bookmarkStart w:id="27" w:name="_Toc35393805"/>
      <w:bookmarkStart w:id="28" w:name="_Toc28359095"/>
      <w:bookmarkStart w:id="29" w:name="_Toc28359018"/>
      <w:r>
        <w:rPr>
          <w:rFonts w:hint="eastAsia" w:ascii="宋体" w:hAnsi="宋体" w:eastAsia="宋体" w:cs="宋体"/>
          <w:bCs w:val="0"/>
          <w:sz w:val="21"/>
          <w:szCs w:val="21"/>
        </w:rPr>
        <w:t>八、凡对本次采购提出询问，请按以下方式联系。</w:t>
      </w:r>
      <w:bookmarkEnd w:id="26"/>
      <w:bookmarkEnd w:id="27"/>
      <w:bookmarkEnd w:id="28"/>
      <w:bookmarkEnd w:id="29"/>
    </w:p>
    <w:p>
      <w:pPr>
        <w:pStyle w:val="4"/>
        <w:spacing w:line="360" w:lineRule="auto"/>
        <w:rPr>
          <w:rFonts w:ascii="宋体" w:hAnsi="宋体" w:eastAsia="宋体" w:cs="宋体"/>
          <w:b w:val="0"/>
          <w:sz w:val="21"/>
          <w:szCs w:val="21"/>
        </w:rPr>
      </w:pPr>
      <w:bookmarkStart w:id="30" w:name="_Toc35393637"/>
      <w:bookmarkStart w:id="31" w:name="_Toc28359096"/>
      <w:bookmarkStart w:id="32" w:name="_Toc28359019"/>
      <w:bookmarkStart w:id="33" w:name="_Toc35393806"/>
      <w:r>
        <w:rPr>
          <w:rFonts w:hint="eastAsia" w:ascii="宋体" w:hAnsi="宋体" w:eastAsia="宋体" w:cs="宋体"/>
          <w:b w:val="0"/>
          <w:sz w:val="21"/>
          <w:szCs w:val="21"/>
        </w:rPr>
        <w:t>1.采购人信息</w:t>
      </w:r>
      <w:bookmarkEnd w:id="30"/>
      <w:bookmarkEnd w:id="31"/>
      <w:bookmarkEnd w:id="32"/>
      <w:bookmarkEnd w:id="33"/>
    </w:p>
    <w:p>
      <w:pPr>
        <w:widowControl/>
        <w:spacing w:line="360" w:lineRule="auto"/>
        <w:ind w:firstLine="210" w:firstLineChars="100"/>
        <w:jc w:val="left"/>
        <w:rPr>
          <w:rFonts w:ascii="宋体" w:hAnsi="宋体" w:cs="宋体"/>
          <w:color w:val="333333"/>
          <w:kern w:val="0"/>
          <w:lang w:bidi="ar"/>
        </w:rPr>
      </w:pPr>
      <w:bookmarkStart w:id="34" w:name="_Toc28359020"/>
      <w:bookmarkStart w:id="35" w:name="_Toc28359097"/>
      <w:bookmarkStart w:id="36" w:name="_Toc35393638"/>
      <w:bookmarkStart w:id="37" w:name="_Toc35393807"/>
      <w:r>
        <w:rPr>
          <w:rFonts w:hint="eastAsia" w:ascii="宋体" w:hAnsi="宋体" w:cs="宋体"/>
          <w:color w:val="333333"/>
          <w:kern w:val="0"/>
          <w:lang w:bidi="ar"/>
        </w:rPr>
        <w:t>名    称：</w:t>
      </w:r>
      <w:r>
        <w:rPr>
          <w:rFonts w:hint="eastAsia" w:cs="宋体"/>
          <w:szCs w:val="24"/>
        </w:rPr>
        <w:t>安徽养城建设发展集团有限公司</w:t>
      </w:r>
    </w:p>
    <w:p>
      <w:pPr>
        <w:widowControl/>
        <w:spacing w:line="360" w:lineRule="auto"/>
        <w:ind w:firstLine="210" w:firstLineChars="100"/>
        <w:jc w:val="left"/>
        <w:rPr>
          <w:rFonts w:ascii="宋体" w:hAnsi="宋体"/>
        </w:rPr>
      </w:pPr>
      <w:r>
        <w:rPr>
          <w:rFonts w:hint="eastAsia" w:ascii="宋体" w:hAnsi="宋体"/>
        </w:rPr>
        <w:t>地    址：界首市企业服务中心4楼</w:t>
      </w:r>
    </w:p>
    <w:p>
      <w:pPr>
        <w:widowControl/>
        <w:spacing w:line="360" w:lineRule="auto"/>
        <w:ind w:firstLine="210" w:firstLineChars="100"/>
        <w:jc w:val="left"/>
        <w:rPr>
          <w:rFonts w:ascii="宋体" w:hAnsi="宋体"/>
          <w:u w:val="single"/>
        </w:rPr>
      </w:pPr>
      <w:r>
        <w:rPr>
          <w:rFonts w:hint="eastAsia" w:ascii="宋体" w:hAnsi="宋体"/>
        </w:rPr>
        <w:t>联系人：</w:t>
      </w:r>
      <w:r>
        <w:rPr>
          <w:rFonts w:hint="eastAsia" w:ascii="宋体" w:hAnsi="宋体" w:cs="宋体"/>
          <w:color w:val="333333"/>
          <w:kern w:val="0"/>
          <w:lang w:bidi="ar"/>
        </w:rPr>
        <w:t>李先生</w:t>
      </w:r>
      <w:r>
        <w:rPr>
          <w:rFonts w:hint="eastAsia" w:ascii="宋体" w:hAnsi="宋体" w:cs="宋体"/>
          <w:color w:val="333333"/>
          <w:kern w:val="0"/>
          <w:lang w:val="en-US" w:eastAsia="zh-CN" w:bidi="ar"/>
        </w:rPr>
        <w:t xml:space="preserve">        </w:t>
      </w:r>
      <w:bookmarkStart w:id="58" w:name="_GoBack"/>
      <w:bookmarkEnd w:id="58"/>
      <w:r>
        <w:rPr>
          <w:rFonts w:hint="eastAsia" w:ascii="宋体" w:hAnsi="宋体"/>
        </w:rPr>
        <w:t>联系</w:t>
      </w:r>
      <w:r>
        <w:rPr>
          <w:rFonts w:hint="eastAsia" w:ascii="宋体" w:hAnsi="宋体"/>
          <w:lang w:val="en-US" w:eastAsia="zh-CN"/>
        </w:rPr>
        <w:t>电话</w:t>
      </w:r>
      <w:r>
        <w:rPr>
          <w:rFonts w:hint="eastAsia" w:ascii="宋体" w:hAnsi="宋体"/>
        </w:rPr>
        <w:t>：</w:t>
      </w:r>
      <w:r>
        <w:rPr>
          <w:rFonts w:cs="宋体"/>
          <w:bCs/>
          <w:kern w:val="0"/>
        </w:rPr>
        <w:t>13866228726</w:t>
      </w:r>
    </w:p>
    <w:p>
      <w:pPr>
        <w:pStyle w:val="4"/>
        <w:spacing w:line="360" w:lineRule="auto"/>
        <w:rPr>
          <w:rFonts w:ascii="宋体" w:hAnsi="宋体" w:eastAsia="宋体" w:cs="宋体"/>
          <w:b w:val="0"/>
          <w:sz w:val="21"/>
          <w:szCs w:val="21"/>
        </w:rPr>
      </w:pPr>
      <w:r>
        <w:rPr>
          <w:rFonts w:hint="eastAsia" w:ascii="宋体" w:hAnsi="宋体" w:eastAsia="宋体" w:cs="宋体"/>
          <w:b w:val="0"/>
          <w:sz w:val="21"/>
          <w:szCs w:val="21"/>
        </w:rPr>
        <w:t>2.采购代理机构信息</w:t>
      </w:r>
      <w:bookmarkEnd w:id="34"/>
      <w:bookmarkEnd w:id="35"/>
      <w:bookmarkEnd w:id="36"/>
      <w:bookmarkEnd w:id="37"/>
    </w:p>
    <w:p>
      <w:pPr>
        <w:spacing w:line="360" w:lineRule="auto"/>
        <w:ind w:firstLine="210" w:firstLineChars="100"/>
        <w:jc w:val="left"/>
        <w:rPr>
          <w:rFonts w:ascii="宋体" w:hAnsi="宋体"/>
        </w:rPr>
      </w:pPr>
      <w:bookmarkStart w:id="38" w:name="_Toc28359098"/>
      <w:bookmarkStart w:id="39" w:name="_Toc35393639"/>
      <w:bookmarkStart w:id="40" w:name="_Toc35393808"/>
      <w:bookmarkStart w:id="41" w:name="_Toc28359021"/>
      <w:r>
        <w:rPr>
          <w:rFonts w:hint="eastAsia" w:ascii="宋体" w:hAnsi="宋体"/>
        </w:rPr>
        <w:t>采购代理公司：安徽科睿工程项目管理有限公司</w:t>
      </w:r>
    </w:p>
    <w:p>
      <w:pPr>
        <w:spacing w:line="360" w:lineRule="auto"/>
        <w:ind w:firstLine="210" w:firstLineChars="100"/>
        <w:jc w:val="left"/>
        <w:rPr>
          <w:rFonts w:ascii="宋体" w:hAnsi="宋体"/>
        </w:rPr>
      </w:pPr>
      <w:r>
        <w:rPr>
          <w:rFonts w:hint="eastAsia" w:ascii="宋体" w:hAnsi="宋体"/>
        </w:rPr>
        <w:t>地  址：安徽省宣城市宣州区昭亭中路18号综合楼</w:t>
      </w:r>
    </w:p>
    <w:p>
      <w:pPr>
        <w:spacing w:line="360" w:lineRule="auto"/>
        <w:ind w:firstLine="210" w:firstLineChars="100"/>
        <w:jc w:val="left"/>
        <w:rPr>
          <w:rFonts w:ascii="宋体" w:hAnsi="宋体"/>
        </w:rPr>
      </w:pPr>
      <w:r>
        <w:rPr>
          <w:rFonts w:hint="eastAsia" w:ascii="宋体" w:hAnsi="宋体"/>
        </w:rPr>
        <w:t>联系人：谢宇           联系电话：18096789088</w:t>
      </w:r>
      <w:bookmarkEnd w:id="0"/>
      <w:bookmarkEnd w:id="1"/>
      <w:bookmarkEnd w:id="38"/>
      <w:bookmarkEnd w:id="39"/>
      <w:bookmarkEnd w:id="40"/>
      <w:bookmarkEnd w:id="41"/>
    </w:p>
    <w:p>
      <w:pPr>
        <w:widowControl/>
        <w:jc w:val="left"/>
        <w:rPr>
          <w:rFonts w:ascii="宋体" w:hAnsi="宋体"/>
          <w:b/>
          <w:bCs/>
          <w:kern w:val="44"/>
          <w:sz w:val="32"/>
          <w:szCs w:val="32"/>
        </w:rPr>
      </w:pPr>
      <w:r>
        <w:rPr>
          <w:rFonts w:ascii="宋体" w:hAnsi="宋体"/>
          <w:sz w:val="32"/>
          <w:szCs w:val="32"/>
        </w:rPr>
        <w:br w:type="page"/>
      </w:r>
    </w:p>
    <w:p>
      <w:pPr>
        <w:pStyle w:val="3"/>
        <w:tabs>
          <w:tab w:val="left" w:pos="3419"/>
        </w:tabs>
        <w:adjustRightInd w:val="0"/>
        <w:snapToGrid w:val="0"/>
        <w:spacing w:line="360" w:lineRule="auto"/>
        <w:jc w:val="center"/>
        <w:rPr>
          <w:rFonts w:ascii="宋体" w:hAnsi="宋体"/>
          <w:sz w:val="32"/>
          <w:szCs w:val="32"/>
        </w:rPr>
      </w:pPr>
      <w:r>
        <w:rPr>
          <w:rFonts w:ascii="宋体" w:hAnsi="宋体"/>
          <w:sz w:val="32"/>
          <w:szCs w:val="32"/>
        </w:rPr>
        <w:t>第二章</w:t>
      </w:r>
      <w:r>
        <w:rPr>
          <w:rFonts w:hint="eastAsia" w:ascii="宋体" w:hAnsi="宋体"/>
          <w:sz w:val="32"/>
          <w:szCs w:val="32"/>
        </w:rPr>
        <w:t xml:space="preserve"> </w:t>
      </w:r>
      <w:r>
        <w:rPr>
          <w:rFonts w:ascii="宋体" w:hAnsi="宋体"/>
          <w:sz w:val="32"/>
          <w:szCs w:val="32"/>
        </w:rPr>
        <w:t>供应商须知</w:t>
      </w:r>
    </w:p>
    <w:p>
      <w:pPr>
        <w:pStyle w:val="6"/>
      </w:pPr>
      <w:r>
        <w:t>一、供应商须知前附表</w:t>
      </w:r>
    </w:p>
    <w:p>
      <w:pPr>
        <w:pStyle w:val="9"/>
        <w:spacing w:before="160" w:after="6" w:line="360" w:lineRule="auto"/>
        <w:ind w:left="510" w:right="493" w:firstLine="437"/>
        <w:rPr>
          <w:sz w:val="21"/>
          <w:szCs w:val="21"/>
        </w:rPr>
      </w:pPr>
      <w:r>
        <w:rPr>
          <w:b/>
          <w:sz w:val="21"/>
          <w:szCs w:val="21"/>
        </w:rPr>
        <w:t>注：</w:t>
      </w:r>
      <w:r>
        <w:rPr>
          <w:sz w:val="21"/>
          <w:szCs w:val="21"/>
        </w:rPr>
        <w:t>本表是本项目的具体要求，是对供应商须知的具体补充和修改，如有不一致，以本表为准。</w:t>
      </w:r>
    </w:p>
    <w:tbl>
      <w:tblPr>
        <w:tblStyle w:val="20"/>
        <w:tblW w:w="9445"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1935"/>
        <w:gridCol w:w="6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99" w:type="dxa"/>
            <w:shd w:val="clear" w:color="auto" w:fill="auto"/>
            <w:vAlign w:val="center"/>
          </w:tcPr>
          <w:p>
            <w:pPr>
              <w:pStyle w:val="45"/>
              <w:spacing w:before="16" w:line="360" w:lineRule="auto"/>
              <w:ind w:left="118" w:right="111"/>
              <w:jc w:val="both"/>
              <w:rPr>
                <w:b/>
                <w:sz w:val="21"/>
                <w:szCs w:val="21"/>
                <w:lang w:eastAsia="en-US"/>
              </w:rPr>
            </w:pPr>
            <w:r>
              <w:rPr>
                <w:b/>
                <w:sz w:val="21"/>
                <w:szCs w:val="21"/>
                <w:lang w:eastAsia="en-US"/>
              </w:rPr>
              <w:t>条款号</w:t>
            </w:r>
          </w:p>
        </w:tc>
        <w:tc>
          <w:tcPr>
            <w:tcW w:w="1935" w:type="dxa"/>
            <w:shd w:val="clear" w:color="auto" w:fill="auto"/>
            <w:vAlign w:val="center"/>
          </w:tcPr>
          <w:p>
            <w:pPr>
              <w:pStyle w:val="45"/>
              <w:spacing w:before="16" w:line="360" w:lineRule="auto"/>
              <w:ind w:left="530"/>
              <w:jc w:val="both"/>
              <w:rPr>
                <w:b/>
                <w:sz w:val="21"/>
                <w:szCs w:val="21"/>
                <w:lang w:eastAsia="en-US"/>
              </w:rPr>
            </w:pPr>
            <w:r>
              <w:rPr>
                <w:b/>
                <w:sz w:val="21"/>
                <w:szCs w:val="21"/>
                <w:lang w:eastAsia="en-US"/>
              </w:rPr>
              <w:t>条款名称</w:t>
            </w:r>
          </w:p>
        </w:tc>
        <w:tc>
          <w:tcPr>
            <w:tcW w:w="6711" w:type="dxa"/>
            <w:shd w:val="clear" w:color="auto" w:fill="auto"/>
            <w:vAlign w:val="center"/>
          </w:tcPr>
          <w:p>
            <w:pPr>
              <w:pStyle w:val="45"/>
              <w:spacing w:before="16" w:line="360" w:lineRule="auto"/>
              <w:ind w:left="1769"/>
              <w:jc w:val="both"/>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9" w:type="dxa"/>
            <w:shd w:val="clear" w:color="auto" w:fill="auto"/>
            <w:vAlign w:val="center"/>
          </w:tcPr>
          <w:p>
            <w:pPr>
              <w:pStyle w:val="45"/>
              <w:spacing w:before="19" w:line="360" w:lineRule="auto"/>
              <w:ind w:right="109"/>
              <w:jc w:val="center"/>
              <w:rPr>
                <w:sz w:val="21"/>
                <w:szCs w:val="21"/>
              </w:rPr>
            </w:pPr>
            <w:r>
              <w:rPr>
                <w:rFonts w:hint="eastAsia"/>
                <w:sz w:val="21"/>
                <w:szCs w:val="21"/>
                <w:lang w:val="en-US"/>
              </w:rPr>
              <w:t>1</w:t>
            </w:r>
          </w:p>
        </w:tc>
        <w:tc>
          <w:tcPr>
            <w:tcW w:w="1935" w:type="dxa"/>
            <w:shd w:val="clear" w:color="auto" w:fill="auto"/>
            <w:vAlign w:val="center"/>
          </w:tcPr>
          <w:p>
            <w:pPr>
              <w:pStyle w:val="45"/>
              <w:spacing w:before="19" w:line="360" w:lineRule="auto"/>
              <w:ind w:left="107"/>
              <w:jc w:val="center"/>
              <w:rPr>
                <w:sz w:val="21"/>
                <w:szCs w:val="21"/>
                <w:lang w:eastAsia="en-US"/>
              </w:rPr>
            </w:pPr>
            <w:r>
              <w:rPr>
                <w:sz w:val="21"/>
                <w:szCs w:val="21"/>
                <w:lang w:eastAsia="en-US"/>
              </w:rPr>
              <w:t>采购人</w:t>
            </w:r>
          </w:p>
        </w:tc>
        <w:tc>
          <w:tcPr>
            <w:tcW w:w="6711" w:type="dxa"/>
            <w:shd w:val="clear" w:color="auto" w:fill="auto"/>
            <w:vAlign w:val="center"/>
          </w:tcPr>
          <w:p>
            <w:pPr>
              <w:pStyle w:val="45"/>
              <w:spacing w:before="19" w:line="360" w:lineRule="auto"/>
              <w:ind w:left="108" w:firstLine="210" w:firstLineChars="100"/>
              <w:jc w:val="both"/>
              <w:rPr>
                <w:sz w:val="21"/>
                <w:szCs w:val="21"/>
                <w:u w:val="single"/>
              </w:rPr>
            </w:pPr>
            <w:r>
              <w:rPr>
                <w:rFonts w:hint="eastAsia"/>
                <w:sz w:val="21"/>
                <w:szCs w:val="21"/>
              </w:rPr>
              <w:t xml:space="preserve">安徽养城建设发展集团有限公司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99" w:type="dxa"/>
            <w:shd w:val="clear" w:color="auto" w:fill="auto"/>
            <w:vAlign w:val="center"/>
          </w:tcPr>
          <w:p>
            <w:pPr>
              <w:pStyle w:val="45"/>
              <w:spacing w:before="19" w:line="360" w:lineRule="auto"/>
              <w:ind w:right="109"/>
              <w:jc w:val="center"/>
              <w:rPr>
                <w:sz w:val="21"/>
                <w:szCs w:val="21"/>
              </w:rPr>
            </w:pPr>
            <w:r>
              <w:rPr>
                <w:rFonts w:hint="eastAsia"/>
                <w:sz w:val="21"/>
                <w:szCs w:val="21"/>
                <w:lang w:val="en-US"/>
              </w:rPr>
              <w:t>2</w:t>
            </w:r>
          </w:p>
        </w:tc>
        <w:tc>
          <w:tcPr>
            <w:tcW w:w="1935" w:type="dxa"/>
            <w:shd w:val="clear" w:color="auto" w:fill="auto"/>
            <w:vAlign w:val="center"/>
          </w:tcPr>
          <w:p>
            <w:pPr>
              <w:pStyle w:val="45"/>
              <w:spacing w:before="19" w:line="360" w:lineRule="auto"/>
              <w:ind w:left="107"/>
              <w:jc w:val="center"/>
              <w:rPr>
                <w:sz w:val="21"/>
                <w:szCs w:val="21"/>
                <w:lang w:eastAsia="en-US"/>
              </w:rPr>
            </w:pPr>
            <w:r>
              <w:rPr>
                <w:sz w:val="21"/>
                <w:szCs w:val="21"/>
                <w:lang w:eastAsia="en-US"/>
              </w:rPr>
              <w:t>采购代理机构</w:t>
            </w:r>
          </w:p>
        </w:tc>
        <w:tc>
          <w:tcPr>
            <w:tcW w:w="6711" w:type="dxa"/>
            <w:shd w:val="clear" w:color="auto" w:fill="auto"/>
            <w:vAlign w:val="center"/>
          </w:tcPr>
          <w:p>
            <w:pPr>
              <w:pStyle w:val="45"/>
              <w:spacing w:before="19" w:line="360" w:lineRule="auto"/>
              <w:ind w:left="108" w:firstLine="210" w:firstLineChars="100"/>
              <w:jc w:val="both"/>
              <w:rPr>
                <w:sz w:val="21"/>
                <w:szCs w:val="21"/>
              </w:rPr>
            </w:pPr>
            <w:r>
              <w:rPr>
                <w:rFonts w:hint="eastAsia"/>
                <w:sz w:val="21"/>
                <w:szCs w:val="21"/>
              </w:rPr>
              <w:t>安徽科睿工程项目管理有限公司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before="1" w:line="360" w:lineRule="auto"/>
              <w:jc w:val="center"/>
              <w:rPr>
                <w:sz w:val="21"/>
                <w:szCs w:val="21"/>
              </w:rPr>
            </w:pPr>
          </w:p>
          <w:p>
            <w:pPr>
              <w:pStyle w:val="45"/>
              <w:spacing w:before="1" w:line="360" w:lineRule="auto"/>
              <w:ind w:right="109"/>
              <w:jc w:val="center"/>
              <w:rPr>
                <w:sz w:val="21"/>
                <w:szCs w:val="21"/>
              </w:rPr>
            </w:pPr>
            <w:r>
              <w:rPr>
                <w:rFonts w:hint="eastAsia"/>
                <w:sz w:val="21"/>
                <w:szCs w:val="21"/>
                <w:lang w:val="en-US"/>
              </w:rPr>
              <w:t>3</w:t>
            </w:r>
          </w:p>
        </w:tc>
        <w:tc>
          <w:tcPr>
            <w:tcW w:w="1935" w:type="dxa"/>
            <w:shd w:val="clear" w:color="auto" w:fill="auto"/>
            <w:vAlign w:val="center"/>
          </w:tcPr>
          <w:p>
            <w:pPr>
              <w:pStyle w:val="45"/>
              <w:spacing w:line="360" w:lineRule="auto"/>
              <w:ind w:left="107"/>
              <w:jc w:val="center"/>
              <w:rPr>
                <w:sz w:val="21"/>
                <w:szCs w:val="21"/>
              </w:rPr>
            </w:pPr>
            <w:r>
              <w:rPr>
                <w:sz w:val="21"/>
                <w:szCs w:val="21"/>
              </w:rPr>
              <w:t>政府采购监督管</w:t>
            </w:r>
          </w:p>
          <w:p>
            <w:pPr>
              <w:pStyle w:val="45"/>
              <w:spacing w:before="158" w:line="360" w:lineRule="auto"/>
              <w:ind w:left="107"/>
              <w:jc w:val="center"/>
              <w:rPr>
                <w:sz w:val="21"/>
                <w:szCs w:val="21"/>
              </w:rPr>
            </w:pPr>
            <w:r>
              <w:rPr>
                <w:sz w:val="21"/>
                <w:szCs w:val="21"/>
              </w:rPr>
              <w:t>理部门</w:t>
            </w:r>
          </w:p>
        </w:tc>
        <w:tc>
          <w:tcPr>
            <w:tcW w:w="6711" w:type="dxa"/>
            <w:shd w:val="clear" w:color="auto" w:fill="auto"/>
            <w:vAlign w:val="center"/>
          </w:tcPr>
          <w:p>
            <w:pPr>
              <w:pStyle w:val="45"/>
              <w:spacing w:line="360" w:lineRule="auto"/>
              <w:ind w:firstLine="420" w:firstLineChars="200"/>
              <w:jc w:val="both"/>
              <w:rPr>
                <w:sz w:val="21"/>
                <w:szCs w:val="21"/>
              </w:rPr>
            </w:pPr>
            <w:r>
              <w:rPr>
                <w:rFonts w:hint="eastAsia"/>
                <w:sz w:val="21"/>
                <w:szCs w:val="21"/>
                <w:lang w:val="en-US"/>
              </w:rPr>
              <w:t xml:space="preserve">安徽养城建设发展集团有限公司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4</w:t>
            </w:r>
          </w:p>
        </w:tc>
        <w:tc>
          <w:tcPr>
            <w:tcW w:w="1935" w:type="dxa"/>
            <w:shd w:val="clear" w:color="auto" w:fill="auto"/>
            <w:vAlign w:val="center"/>
          </w:tcPr>
          <w:p>
            <w:pPr>
              <w:widowControl/>
              <w:jc w:val="center"/>
            </w:pPr>
            <w:r>
              <w:rPr>
                <w:rFonts w:hint="eastAsia" w:ascii="宋体" w:hAnsi="宋体" w:cs="宋体"/>
                <w:color w:val="000000"/>
                <w:kern w:val="0"/>
                <w:lang w:bidi="ar"/>
              </w:rPr>
              <w:t>项目建设规模</w:t>
            </w:r>
          </w:p>
          <w:p>
            <w:pPr>
              <w:pStyle w:val="45"/>
              <w:spacing w:before="160" w:line="360" w:lineRule="auto"/>
              <w:ind w:left="107"/>
              <w:jc w:val="center"/>
              <w:rPr>
                <w:sz w:val="21"/>
                <w:szCs w:val="21"/>
              </w:rPr>
            </w:pPr>
          </w:p>
        </w:tc>
        <w:tc>
          <w:tcPr>
            <w:tcW w:w="6711" w:type="dxa"/>
            <w:shd w:val="clear" w:color="auto" w:fill="auto"/>
            <w:vAlign w:val="center"/>
          </w:tcPr>
          <w:p>
            <w:pPr>
              <w:spacing w:line="480" w:lineRule="auto"/>
              <w:ind w:firstLine="420" w:firstLineChars="200"/>
            </w:pPr>
            <w:r>
              <w:rPr>
                <w:rFonts w:hint="eastAsia"/>
              </w:rPr>
              <w:t>界首市通用机场项目（一期）10kV外线接入工程施工包括强电设备采购及安装项目涉及的各类电力设备等。本次监理项目</w:t>
            </w:r>
            <w:r>
              <w:rPr>
                <w:rFonts w:hint="eastAsia" w:hAnsi="宋体" w:cs="宋体"/>
                <w:kern w:val="0"/>
              </w:rPr>
              <w:t>包括施工准备阶段、施工阶段监理服务和竣工报验、工程档案移交、审计阶段、工程保修阶段（缺陷责任期）等全过程监理。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5</w:t>
            </w:r>
          </w:p>
        </w:tc>
        <w:tc>
          <w:tcPr>
            <w:tcW w:w="1935" w:type="dxa"/>
            <w:shd w:val="clear" w:color="auto" w:fill="auto"/>
            <w:vAlign w:val="center"/>
          </w:tcPr>
          <w:p>
            <w:pPr>
              <w:widowControl/>
              <w:jc w:val="center"/>
            </w:pPr>
            <w:r>
              <w:rPr>
                <w:rFonts w:hint="eastAsia" w:ascii="宋体" w:hAnsi="宋体" w:cs="宋体"/>
                <w:color w:val="000000"/>
                <w:kern w:val="0"/>
                <w:lang w:bidi="ar"/>
              </w:rPr>
              <w:t>工程项目施工预计开</w:t>
            </w:r>
          </w:p>
          <w:p>
            <w:pPr>
              <w:widowControl/>
              <w:jc w:val="center"/>
            </w:pPr>
            <w:r>
              <w:rPr>
                <w:rFonts w:hint="eastAsia" w:ascii="宋体" w:hAnsi="宋体" w:cs="宋体"/>
                <w:color w:val="000000"/>
                <w:kern w:val="0"/>
                <w:lang w:bidi="ar"/>
              </w:rPr>
              <w:t>工日期和建设周期</w:t>
            </w:r>
          </w:p>
        </w:tc>
        <w:tc>
          <w:tcPr>
            <w:tcW w:w="6711" w:type="dxa"/>
            <w:shd w:val="clear" w:color="auto" w:fill="auto"/>
            <w:vAlign w:val="center"/>
          </w:tcPr>
          <w:p>
            <w:pPr>
              <w:pStyle w:val="45"/>
              <w:tabs>
                <w:tab w:val="left" w:pos="828"/>
              </w:tabs>
              <w:spacing w:line="360" w:lineRule="auto"/>
              <w:ind w:left="108"/>
              <w:jc w:val="both"/>
              <w:rPr>
                <w:sz w:val="21"/>
                <w:szCs w:val="21"/>
                <w:lang w:eastAsia="en-US"/>
              </w:rPr>
            </w:pPr>
            <w:r>
              <w:rPr>
                <w:rFonts w:hint="eastAsia"/>
                <w:lang w:val="en-US"/>
              </w:rPr>
              <w:t>60</w:t>
            </w:r>
            <w:r>
              <w:rPr>
                <w:rFonts w:hint="eastAsia"/>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6</w:t>
            </w:r>
          </w:p>
        </w:tc>
        <w:tc>
          <w:tcPr>
            <w:tcW w:w="1935" w:type="dxa"/>
            <w:shd w:val="clear" w:color="auto" w:fill="auto"/>
            <w:vAlign w:val="center"/>
          </w:tcPr>
          <w:p>
            <w:pPr>
              <w:widowControl/>
              <w:jc w:val="center"/>
            </w:pPr>
            <w:r>
              <w:rPr>
                <w:rFonts w:hint="eastAsia" w:ascii="宋体" w:hAnsi="宋体" w:cs="宋体"/>
                <w:color w:val="000000"/>
                <w:kern w:val="0"/>
                <w:lang w:bidi="ar"/>
              </w:rPr>
              <w:t>建筑安装工程费/工</w:t>
            </w:r>
          </w:p>
          <w:p>
            <w:pPr>
              <w:widowControl/>
              <w:jc w:val="center"/>
            </w:pPr>
            <w:r>
              <w:rPr>
                <w:rFonts w:hint="eastAsia" w:ascii="宋体" w:hAnsi="宋体" w:cs="宋体"/>
                <w:color w:val="000000"/>
                <w:kern w:val="0"/>
                <w:lang w:bidi="ar"/>
              </w:rPr>
              <w:t>程概算</w:t>
            </w:r>
          </w:p>
        </w:tc>
        <w:tc>
          <w:tcPr>
            <w:tcW w:w="6711" w:type="dxa"/>
            <w:shd w:val="clear" w:color="auto" w:fill="auto"/>
            <w:vAlign w:val="center"/>
          </w:tcPr>
          <w:p>
            <w:pPr>
              <w:pStyle w:val="45"/>
              <w:tabs>
                <w:tab w:val="left" w:pos="828"/>
              </w:tabs>
              <w:spacing w:line="360" w:lineRule="auto"/>
              <w:ind w:left="108"/>
              <w:jc w:val="both"/>
              <w:rPr>
                <w:sz w:val="21"/>
                <w:szCs w:val="21"/>
                <w:lang w:val="en-US"/>
              </w:rPr>
            </w:pPr>
            <w:r>
              <w:rPr>
                <w:rFonts w:hint="eastAsia"/>
                <w:lang w:val="en-US"/>
              </w:rPr>
              <w:t>约673万元。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7</w:t>
            </w:r>
          </w:p>
        </w:tc>
        <w:tc>
          <w:tcPr>
            <w:tcW w:w="1935" w:type="dxa"/>
            <w:shd w:val="clear" w:color="auto" w:fill="auto"/>
            <w:vAlign w:val="center"/>
          </w:tcPr>
          <w:p>
            <w:pPr>
              <w:widowControl/>
              <w:jc w:val="center"/>
            </w:pPr>
            <w:r>
              <w:rPr>
                <w:rFonts w:hint="eastAsia" w:ascii="宋体" w:hAnsi="宋体" w:cs="宋体"/>
                <w:color w:val="000000"/>
                <w:kern w:val="0"/>
                <w:lang w:bidi="ar"/>
              </w:rPr>
              <w:t>资金落实情况</w:t>
            </w:r>
          </w:p>
        </w:tc>
        <w:tc>
          <w:tcPr>
            <w:tcW w:w="6711" w:type="dxa"/>
            <w:shd w:val="clear" w:color="auto" w:fill="auto"/>
            <w:vAlign w:val="center"/>
          </w:tcPr>
          <w:p>
            <w:pPr>
              <w:pStyle w:val="45"/>
              <w:tabs>
                <w:tab w:val="left" w:pos="828"/>
              </w:tabs>
              <w:spacing w:line="360" w:lineRule="auto"/>
              <w:ind w:left="108"/>
              <w:jc w:val="both"/>
              <w:rPr>
                <w:sz w:val="21"/>
                <w:szCs w:val="21"/>
                <w:lang w:val="en-US"/>
              </w:rPr>
            </w:pPr>
            <w:r>
              <w:rPr>
                <w:rFonts w:hint="eastAsia"/>
                <w:sz w:val="21"/>
                <w:szCs w:val="21"/>
                <w:lang w:val="en-US"/>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8</w:t>
            </w:r>
          </w:p>
        </w:tc>
        <w:tc>
          <w:tcPr>
            <w:tcW w:w="1935" w:type="dxa"/>
            <w:shd w:val="clear" w:color="auto" w:fill="auto"/>
            <w:vAlign w:val="center"/>
          </w:tcPr>
          <w:p>
            <w:pPr>
              <w:widowControl/>
              <w:jc w:val="center"/>
            </w:pPr>
            <w:r>
              <w:rPr>
                <w:rFonts w:hint="eastAsia" w:ascii="宋体" w:hAnsi="宋体" w:cs="宋体"/>
                <w:color w:val="000000"/>
                <w:kern w:val="0"/>
                <w:lang w:bidi="ar"/>
              </w:rPr>
              <w:t>招标范围</w:t>
            </w:r>
          </w:p>
          <w:p>
            <w:pPr>
              <w:pStyle w:val="45"/>
              <w:spacing w:before="160" w:line="360" w:lineRule="auto"/>
              <w:ind w:left="107"/>
              <w:jc w:val="center"/>
              <w:rPr>
                <w:sz w:val="21"/>
                <w:szCs w:val="21"/>
              </w:rPr>
            </w:pPr>
          </w:p>
        </w:tc>
        <w:tc>
          <w:tcPr>
            <w:tcW w:w="6711" w:type="dxa"/>
            <w:shd w:val="clear" w:color="auto" w:fill="auto"/>
            <w:vAlign w:val="center"/>
          </w:tcPr>
          <w:p>
            <w:pPr>
              <w:widowControl/>
              <w:spacing w:line="360" w:lineRule="auto"/>
              <w:jc w:val="left"/>
            </w:pPr>
            <w:r>
              <w:rPr>
                <w:rFonts w:hint="eastAsia"/>
              </w:rPr>
              <w:t>界首市通用机场项目（一期）10kV外线接入工程施工包括强电设备采购及安装项目涉及的各类电力设备等。本次监理项目</w:t>
            </w:r>
            <w:r>
              <w:rPr>
                <w:rFonts w:hint="eastAsia" w:hAnsi="宋体" w:cs="宋体"/>
                <w:kern w:val="0"/>
              </w:rPr>
              <w:t>包括施工准备阶段、施工阶段监理服务和竣工报验、工程档案移交、审计阶段、工程保修阶段（缺陷责任期）等全过程监理。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9</w:t>
            </w:r>
          </w:p>
        </w:tc>
        <w:tc>
          <w:tcPr>
            <w:tcW w:w="1935" w:type="dxa"/>
            <w:shd w:val="clear" w:color="auto" w:fill="auto"/>
            <w:vAlign w:val="center"/>
          </w:tcPr>
          <w:p>
            <w:pPr>
              <w:widowControl/>
              <w:jc w:val="left"/>
            </w:pPr>
            <w:r>
              <w:rPr>
                <w:rFonts w:hint="eastAsia" w:ascii="宋体" w:hAnsi="宋体" w:cs="宋体"/>
                <w:color w:val="000000"/>
                <w:kern w:val="0"/>
                <w:lang w:bidi="ar"/>
              </w:rPr>
              <w:t xml:space="preserve">监理服务期限 </w:t>
            </w:r>
          </w:p>
        </w:tc>
        <w:tc>
          <w:tcPr>
            <w:tcW w:w="6711" w:type="dxa"/>
            <w:shd w:val="clear" w:color="auto" w:fill="auto"/>
            <w:vAlign w:val="center"/>
          </w:tcPr>
          <w:p>
            <w:pPr>
              <w:widowControl/>
              <w:jc w:val="left"/>
            </w:pPr>
            <w:r>
              <w:rPr>
                <w:rFonts w:hint="eastAsia" w:ascii="宋体" w:hAnsi="宋体" w:cs="宋体"/>
                <w:color w:val="000000"/>
                <w:kern w:val="0"/>
                <w:lang w:bidi="ar"/>
              </w:rPr>
              <w:t xml:space="preserve">自签订工程建设监理合同之日起，至保修期结束。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10</w:t>
            </w:r>
          </w:p>
        </w:tc>
        <w:tc>
          <w:tcPr>
            <w:tcW w:w="1935" w:type="dxa"/>
            <w:shd w:val="clear" w:color="auto" w:fill="auto"/>
            <w:vAlign w:val="center"/>
          </w:tcPr>
          <w:p>
            <w:pPr>
              <w:widowControl/>
              <w:jc w:val="left"/>
            </w:pPr>
            <w:r>
              <w:rPr>
                <w:rFonts w:hint="eastAsia" w:ascii="宋体" w:hAnsi="宋体" w:cs="宋体"/>
                <w:color w:val="000000"/>
                <w:kern w:val="0"/>
                <w:lang w:bidi="ar"/>
              </w:rPr>
              <w:t>质量标准</w:t>
            </w:r>
          </w:p>
        </w:tc>
        <w:tc>
          <w:tcPr>
            <w:tcW w:w="6711" w:type="dxa"/>
            <w:shd w:val="clear" w:color="auto" w:fill="auto"/>
            <w:vAlign w:val="center"/>
          </w:tcPr>
          <w:p>
            <w:pPr>
              <w:widowControl/>
              <w:jc w:val="left"/>
            </w:pPr>
            <w:r>
              <w:rPr>
                <w:rFonts w:hint="eastAsia" w:ascii="宋体" w:hAnsi="宋体" w:cs="宋体"/>
                <w:color w:val="000000"/>
                <w:kern w:val="0"/>
                <w:lang w:bidi="ar"/>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11</w:t>
            </w:r>
          </w:p>
        </w:tc>
        <w:tc>
          <w:tcPr>
            <w:tcW w:w="1935" w:type="dxa"/>
            <w:shd w:val="clear" w:color="auto" w:fill="auto"/>
            <w:vAlign w:val="center"/>
          </w:tcPr>
          <w:p>
            <w:pPr>
              <w:widowControl/>
              <w:jc w:val="left"/>
            </w:pPr>
            <w:r>
              <w:rPr>
                <w:rFonts w:hint="eastAsia" w:ascii="宋体" w:hAnsi="宋体" w:cs="宋体"/>
                <w:color w:val="000000"/>
                <w:kern w:val="0"/>
                <w:lang w:bidi="ar"/>
              </w:rPr>
              <w:t xml:space="preserve">投标人资质条件、能 </w:t>
            </w:r>
          </w:p>
          <w:p>
            <w:pPr>
              <w:widowControl/>
              <w:jc w:val="left"/>
            </w:pPr>
            <w:r>
              <w:rPr>
                <w:rFonts w:hint="eastAsia" w:ascii="宋体" w:hAnsi="宋体" w:cs="宋体"/>
                <w:color w:val="000000"/>
                <w:kern w:val="0"/>
                <w:lang w:bidi="ar"/>
              </w:rPr>
              <w:t>力、信誉</w:t>
            </w:r>
          </w:p>
          <w:p>
            <w:pPr>
              <w:pStyle w:val="45"/>
              <w:spacing w:before="160" w:line="360" w:lineRule="auto"/>
              <w:ind w:left="107"/>
              <w:jc w:val="center"/>
              <w:rPr>
                <w:sz w:val="21"/>
                <w:szCs w:val="21"/>
              </w:rPr>
            </w:pPr>
          </w:p>
        </w:tc>
        <w:tc>
          <w:tcPr>
            <w:tcW w:w="6711" w:type="dxa"/>
            <w:shd w:val="clear" w:color="auto" w:fill="auto"/>
            <w:vAlign w:val="center"/>
          </w:tcPr>
          <w:p>
            <w:pPr>
              <w:tabs>
                <w:tab w:val="left" w:pos="2400"/>
                <w:tab w:val="left" w:pos="3460"/>
                <w:tab w:val="left" w:pos="6660"/>
                <w:tab w:val="left" w:pos="8789"/>
              </w:tabs>
              <w:autoSpaceDE w:val="0"/>
              <w:autoSpaceDN w:val="0"/>
              <w:adjustRightInd w:val="0"/>
              <w:spacing w:line="360" w:lineRule="auto"/>
              <w:ind w:right="40" w:firstLine="420" w:firstLineChars="200"/>
              <w:rPr>
                <w:rFonts w:cs="宋体"/>
                <w:bCs/>
                <w:kern w:val="0"/>
              </w:rPr>
            </w:pPr>
            <w:r>
              <w:rPr>
                <w:rFonts w:hint="eastAsia" w:cs="宋体"/>
                <w:bCs/>
                <w:kern w:val="0"/>
              </w:rPr>
              <w:t>1、具有住房城乡建设行政主管部门颁发的电力工程专业监理乙级及以上资质或具有工程监理综合资质。</w:t>
            </w:r>
          </w:p>
          <w:p>
            <w:pPr>
              <w:tabs>
                <w:tab w:val="left" w:pos="2400"/>
                <w:tab w:val="left" w:pos="3460"/>
                <w:tab w:val="left" w:pos="6660"/>
                <w:tab w:val="left" w:pos="8789"/>
              </w:tabs>
              <w:autoSpaceDE w:val="0"/>
              <w:autoSpaceDN w:val="0"/>
              <w:adjustRightInd w:val="0"/>
              <w:spacing w:line="360" w:lineRule="auto"/>
              <w:ind w:right="40" w:firstLine="420" w:firstLineChars="200"/>
              <w:jc w:val="left"/>
              <w:rPr>
                <w:rFonts w:cs="宋体"/>
                <w:bCs/>
                <w:kern w:val="0"/>
                <w:highlight w:val="cyan"/>
              </w:rPr>
            </w:pPr>
            <w:r>
              <w:rPr>
                <w:rFonts w:hint="eastAsia" w:ascii="宋体" w:hAnsi="宋体" w:cs="宋体"/>
                <w:color w:val="000000" w:themeColor="text1"/>
                <w:kern w:val="0"/>
                <w:lang w:bidi="zh-CN"/>
                <w14:textFill>
                  <w14:solidFill>
                    <w14:schemeClr w14:val="tx1"/>
                  </w14:solidFill>
                </w14:textFill>
              </w:rPr>
              <w:t>2、</w:t>
            </w:r>
            <w:r>
              <w:rPr>
                <w:rFonts w:hint="eastAsia" w:cs="宋体"/>
                <w:bCs/>
                <w:kern w:val="0"/>
              </w:rPr>
              <w:t>总监理工程师的资格要求：具有国家注册监理工程师执业资格证书(电力工程专业或机电安装工程专业)。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before="4" w:line="360" w:lineRule="auto"/>
              <w:jc w:val="center"/>
              <w:rPr>
                <w:sz w:val="21"/>
                <w:szCs w:val="21"/>
              </w:rPr>
            </w:pPr>
          </w:p>
          <w:p>
            <w:pPr>
              <w:pStyle w:val="45"/>
              <w:spacing w:line="360" w:lineRule="auto"/>
              <w:ind w:right="109"/>
              <w:jc w:val="center"/>
              <w:rPr>
                <w:sz w:val="21"/>
                <w:szCs w:val="21"/>
                <w:lang w:val="en-US"/>
              </w:rPr>
            </w:pPr>
            <w:r>
              <w:rPr>
                <w:rFonts w:hint="eastAsia"/>
                <w:sz w:val="21"/>
                <w:szCs w:val="21"/>
                <w:lang w:val="en-US"/>
              </w:rPr>
              <w:t>12</w:t>
            </w:r>
          </w:p>
        </w:tc>
        <w:tc>
          <w:tcPr>
            <w:tcW w:w="1935" w:type="dxa"/>
            <w:shd w:val="clear" w:color="auto" w:fill="auto"/>
            <w:vAlign w:val="center"/>
          </w:tcPr>
          <w:p>
            <w:pPr>
              <w:pStyle w:val="45"/>
              <w:spacing w:line="360" w:lineRule="auto"/>
              <w:ind w:left="107"/>
              <w:jc w:val="both"/>
              <w:rPr>
                <w:sz w:val="21"/>
                <w:szCs w:val="21"/>
              </w:rPr>
            </w:pPr>
            <w:r>
              <w:rPr>
                <w:sz w:val="21"/>
                <w:szCs w:val="21"/>
              </w:rPr>
              <w:t>是否为专门面向</w:t>
            </w:r>
          </w:p>
          <w:p>
            <w:pPr>
              <w:pStyle w:val="45"/>
              <w:spacing w:before="160" w:line="360" w:lineRule="auto"/>
              <w:ind w:left="107"/>
              <w:jc w:val="both"/>
              <w:rPr>
                <w:sz w:val="21"/>
                <w:szCs w:val="21"/>
              </w:rPr>
            </w:pPr>
            <w:r>
              <w:rPr>
                <w:sz w:val="21"/>
                <w:szCs w:val="21"/>
              </w:rPr>
              <w:t>中小企业采购</w:t>
            </w:r>
          </w:p>
        </w:tc>
        <w:tc>
          <w:tcPr>
            <w:tcW w:w="6711" w:type="dxa"/>
            <w:shd w:val="clear" w:color="auto" w:fill="auto"/>
            <w:vAlign w:val="center"/>
          </w:tcPr>
          <w:p>
            <w:pPr>
              <w:pStyle w:val="45"/>
              <w:spacing w:before="4" w:line="360" w:lineRule="auto"/>
              <w:jc w:val="both"/>
              <w:rPr>
                <w:sz w:val="21"/>
                <w:szCs w:val="21"/>
              </w:rPr>
            </w:pPr>
          </w:p>
          <w:p>
            <w:pPr>
              <w:pStyle w:val="45"/>
              <w:tabs>
                <w:tab w:val="left" w:pos="828"/>
              </w:tabs>
              <w:spacing w:line="360" w:lineRule="auto"/>
              <w:ind w:left="108"/>
              <w:jc w:val="both"/>
              <w:rPr>
                <w:sz w:val="21"/>
                <w:szCs w:val="21"/>
                <w:lang w:eastAsia="en-US"/>
              </w:rPr>
            </w:pP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99" w:type="dxa"/>
            <w:shd w:val="clear" w:color="auto" w:fill="auto"/>
            <w:vAlign w:val="center"/>
          </w:tcPr>
          <w:p>
            <w:pPr>
              <w:pStyle w:val="45"/>
              <w:spacing w:before="4" w:line="360" w:lineRule="auto"/>
              <w:jc w:val="center"/>
              <w:rPr>
                <w:sz w:val="21"/>
                <w:szCs w:val="21"/>
                <w:lang w:eastAsia="en-US"/>
              </w:rPr>
            </w:pPr>
          </w:p>
          <w:p>
            <w:pPr>
              <w:pStyle w:val="45"/>
              <w:spacing w:line="360" w:lineRule="auto"/>
              <w:ind w:right="109"/>
              <w:jc w:val="center"/>
              <w:rPr>
                <w:sz w:val="21"/>
                <w:szCs w:val="21"/>
                <w:lang w:val="en-US"/>
              </w:rPr>
            </w:pPr>
            <w:r>
              <w:rPr>
                <w:rFonts w:hint="eastAsia"/>
                <w:sz w:val="21"/>
                <w:szCs w:val="21"/>
                <w:lang w:val="en-US"/>
              </w:rPr>
              <w:t>13</w:t>
            </w:r>
          </w:p>
        </w:tc>
        <w:tc>
          <w:tcPr>
            <w:tcW w:w="1935" w:type="dxa"/>
            <w:shd w:val="clear" w:color="auto" w:fill="auto"/>
            <w:vAlign w:val="center"/>
          </w:tcPr>
          <w:p>
            <w:pPr>
              <w:pStyle w:val="45"/>
              <w:spacing w:before="2" w:line="360" w:lineRule="auto"/>
              <w:ind w:left="107"/>
              <w:jc w:val="both"/>
              <w:rPr>
                <w:sz w:val="21"/>
                <w:szCs w:val="21"/>
              </w:rPr>
            </w:pPr>
            <w:r>
              <w:rPr>
                <w:sz w:val="21"/>
                <w:szCs w:val="21"/>
              </w:rPr>
              <w:t>是否允许联合体</w:t>
            </w:r>
          </w:p>
          <w:p>
            <w:pPr>
              <w:pStyle w:val="45"/>
              <w:spacing w:before="158" w:line="360" w:lineRule="auto"/>
              <w:ind w:left="107"/>
              <w:jc w:val="both"/>
              <w:rPr>
                <w:sz w:val="21"/>
                <w:szCs w:val="21"/>
              </w:rPr>
            </w:pPr>
            <w:r>
              <w:rPr>
                <w:sz w:val="21"/>
                <w:szCs w:val="21"/>
              </w:rPr>
              <w:t>参加竞争性磋商</w:t>
            </w:r>
          </w:p>
        </w:tc>
        <w:tc>
          <w:tcPr>
            <w:tcW w:w="6711" w:type="dxa"/>
            <w:shd w:val="clear" w:color="auto" w:fill="auto"/>
            <w:vAlign w:val="center"/>
          </w:tcPr>
          <w:p>
            <w:pPr>
              <w:pStyle w:val="45"/>
              <w:spacing w:before="4" w:line="360" w:lineRule="auto"/>
              <w:jc w:val="both"/>
              <w:rPr>
                <w:sz w:val="21"/>
                <w:szCs w:val="21"/>
              </w:rPr>
            </w:pPr>
          </w:p>
          <w:p>
            <w:pPr>
              <w:pStyle w:val="45"/>
              <w:tabs>
                <w:tab w:val="left" w:pos="828"/>
              </w:tabs>
              <w:spacing w:line="360" w:lineRule="auto"/>
              <w:ind w:left="108"/>
              <w:jc w:val="both"/>
              <w:rPr>
                <w:sz w:val="21"/>
                <w:szCs w:val="21"/>
                <w:lang w:eastAsia="en-US"/>
              </w:rPr>
            </w:pP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14</w:t>
            </w:r>
          </w:p>
        </w:tc>
        <w:tc>
          <w:tcPr>
            <w:tcW w:w="1935" w:type="dxa"/>
            <w:shd w:val="clear" w:color="auto" w:fill="auto"/>
            <w:vAlign w:val="center"/>
          </w:tcPr>
          <w:p>
            <w:pPr>
              <w:pStyle w:val="45"/>
              <w:spacing w:line="360" w:lineRule="auto"/>
              <w:jc w:val="both"/>
              <w:rPr>
                <w:sz w:val="21"/>
                <w:szCs w:val="21"/>
                <w:lang w:eastAsia="en-US"/>
              </w:rPr>
            </w:pPr>
            <w:r>
              <w:rPr>
                <w:sz w:val="21"/>
                <w:szCs w:val="21"/>
                <w:lang w:eastAsia="en-US"/>
              </w:rPr>
              <w:t>现场考察</w:t>
            </w:r>
          </w:p>
        </w:tc>
        <w:tc>
          <w:tcPr>
            <w:tcW w:w="6711" w:type="dxa"/>
            <w:shd w:val="clear" w:color="auto" w:fill="auto"/>
            <w:vAlign w:val="center"/>
          </w:tcPr>
          <w:p>
            <w:pPr>
              <w:pStyle w:val="45"/>
              <w:spacing w:line="360" w:lineRule="auto"/>
              <w:ind w:left="108"/>
              <w:jc w:val="both"/>
              <w:rPr>
                <w:sz w:val="21"/>
                <w:szCs w:val="21"/>
              </w:rPr>
            </w:pPr>
            <w:r>
              <w:rPr>
                <w:rFonts w:hint="eastAsia"/>
                <w:sz w:val="21"/>
                <w:szCs w:val="21"/>
              </w:rPr>
              <w:t>■</w:t>
            </w:r>
            <w:r>
              <w:rPr>
                <w:sz w:val="21"/>
                <w:szCs w:val="21"/>
              </w:rPr>
              <w:t>不组织，供应商自行考察</w:t>
            </w:r>
          </w:p>
          <w:p>
            <w:pPr>
              <w:pStyle w:val="45"/>
              <w:spacing w:before="158" w:line="360" w:lineRule="auto"/>
              <w:ind w:left="108"/>
              <w:jc w:val="both"/>
              <w:rPr>
                <w:sz w:val="21"/>
                <w:szCs w:val="21"/>
              </w:rPr>
            </w:pPr>
            <w:r>
              <w:rPr>
                <w:sz w:val="21"/>
                <w:szCs w:val="21"/>
              </w:rPr>
              <w:t>□统一组织</w:t>
            </w:r>
          </w:p>
          <w:p>
            <w:pPr>
              <w:pStyle w:val="45"/>
              <w:tabs>
                <w:tab w:val="left" w:pos="1308"/>
                <w:tab w:val="left" w:pos="3643"/>
              </w:tabs>
              <w:spacing w:before="160"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pPr>
              <w:pStyle w:val="45"/>
              <w:tabs>
                <w:tab w:val="left" w:pos="4603"/>
              </w:tabs>
              <w:spacing w:before="6"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pPr>
              <w:pStyle w:val="45"/>
              <w:spacing w:before="24" w:line="360" w:lineRule="auto"/>
              <w:ind w:left="108" w:right="100"/>
              <w:jc w:val="both"/>
              <w:rPr>
                <w:b/>
                <w:sz w:val="21"/>
                <w:szCs w:val="21"/>
              </w:rPr>
            </w:pPr>
            <w:r>
              <w:rPr>
                <w:b/>
                <w:spacing w:val="-7"/>
                <w:sz w:val="21"/>
                <w:szCs w:val="21"/>
              </w:rPr>
              <w:t>备注：如供应商未参加采购人统一组织的现场考察，视同放弃现场考察，由此引起的一切责任由供</w:t>
            </w:r>
            <w:r>
              <w:rPr>
                <w:b/>
                <w:sz w:val="21"/>
                <w:szCs w:val="21"/>
              </w:rPr>
              <w:t>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before="1" w:line="360" w:lineRule="auto"/>
              <w:ind w:right="109"/>
              <w:jc w:val="center"/>
              <w:rPr>
                <w:sz w:val="21"/>
                <w:szCs w:val="21"/>
                <w:lang w:val="en-US"/>
              </w:rPr>
            </w:pPr>
            <w:r>
              <w:rPr>
                <w:rFonts w:hint="eastAsia"/>
                <w:sz w:val="21"/>
                <w:szCs w:val="21"/>
                <w:lang w:val="en-US"/>
              </w:rPr>
              <w:t>15</w:t>
            </w:r>
          </w:p>
        </w:tc>
        <w:tc>
          <w:tcPr>
            <w:tcW w:w="1935" w:type="dxa"/>
            <w:shd w:val="clear" w:color="auto" w:fill="auto"/>
            <w:vAlign w:val="center"/>
          </w:tcPr>
          <w:p>
            <w:pPr>
              <w:autoSpaceDE w:val="0"/>
              <w:autoSpaceDN w:val="0"/>
              <w:spacing w:line="360" w:lineRule="auto"/>
              <w:rPr>
                <w:rFonts w:ascii="宋体" w:hAnsi="宋体"/>
                <w:kern w:val="0"/>
                <w:lang w:eastAsia="en-US"/>
              </w:rPr>
            </w:pPr>
            <w:r>
              <w:rPr>
                <w:rFonts w:hint="eastAsia" w:ascii="宋体" w:hAnsi="宋体"/>
                <w:kern w:val="0"/>
              </w:rPr>
              <w:t>供应商质疑</w:t>
            </w:r>
            <w:r>
              <w:rPr>
                <w:rFonts w:ascii="宋体" w:hAnsi="宋体"/>
                <w:kern w:val="0"/>
                <w:lang w:eastAsia="en-US"/>
              </w:rPr>
              <w:t>截止时间</w:t>
            </w:r>
          </w:p>
        </w:tc>
        <w:tc>
          <w:tcPr>
            <w:tcW w:w="6711" w:type="dxa"/>
            <w:shd w:val="clear" w:color="auto" w:fill="auto"/>
            <w:vAlign w:val="center"/>
          </w:tcPr>
          <w:p>
            <w:pPr>
              <w:autoSpaceDE w:val="0"/>
              <w:autoSpaceDN w:val="0"/>
              <w:spacing w:line="360" w:lineRule="auto"/>
              <w:rPr>
                <w:rFonts w:ascii="宋体" w:hAnsi="宋体" w:cs="宋体"/>
                <w:kern w:val="0"/>
              </w:rPr>
            </w:pPr>
            <w:r>
              <w:rPr>
                <w:rFonts w:hint="eastAsia" w:ascii="宋体" w:hAnsi="宋体"/>
                <w:kern w:val="0"/>
              </w:rPr>
              <w:t>1、对采购文件提出质疑的，应当在采购文件公告期限届满之日起</w:t>
            </w:r>
            <w:r>
              <w:rPr>
                <w:rFonts w:hint="eastAsia" w:ascii="宋体" w:hAnsi="宋体" w:cs="宋体"/>
                <w:kern w:val="0"/>
              </w:rPr>
              <w:t>7个工作日内提出。</w:t>
            </w:r>
          </w:p>
          <w:p>
            <w:pPr>
              <w:autoSpaceDE w:val="0"/>
              <w:autoSpaceDN w:val="0"/>
              <w:spacing w:line="360" w:lineRule="auto"/>
              <w:ind w:firstLine="411" w:firstLineChars="196"/>
              <w:rPr>
                <w:rFonts w:ascii="宋体" w:hAnsi="宋体" w:cs="宋体"/>
                <w:kern w:val="0"/>
              </w:rPr>
            </w:pPr>
            <w:r>
              <w:rPr>
                <w:rFonts w:hint="eastAsia" w:ascii="宋体" w:hAnsi="宋体" w:cs="宋体"/>
                <w:kern w:val="0"/>
              </w:rPr>
              <w:t>接受</w:t>
            </w:r>
            <w:r>
              <w:rPr>
                <w:rFonts w:hint="eastAsia" w:ascii="宋体" w:hAnsi="宋体"/>
                <w:kern w:val="0"/>
              </w:rPr>
              <w:t>采购</w:t>
            </w:r>
            <w:r>
              <w:rPr>
                <w:rFonts w:hint="eastAsia" w:ascii="宋体" w:hAnsi="宋体" w:cs="宋体"/>
                <w:kern w:val="0"/>
              </w:rPr>
              <w:t xml:space="preserve">文件质疑的电子邮箱：3125200080@qq.com </w:t>
            </w:r>
          </w:p>
          <w:p>
            <w:pPr>
              <w:widowControl/>
              <w:shd w:val="clear" w:color="auto" w:fill="FFFFFF"/>
              <w:autoSpaceDE w:val="0"/>
              <w:autoSpaceDN w:val="0"/>
              <w:spacing w:line="360" w:lineRule="auto"/>
              <w:ind w:firstLine="411" w:firstLineChars="196"/>
              <w:rPr>
                <w:rFonts w:ascii="宋体" w:hAnsi="宋体" w:cs="宋体"/>
                <w:kern w:val="0"/>
              </w:rPr>
            </w:pPr>
            <w:r>
              <w:rPr>
                <w:rFonts w:hint="eastAsia" w:ascii="宋体" w:hAnsi="宋体" w:cs="宋体"/>
                <w:kern w:val="0"/>
              </w:rPr>
              <w:t>特别提示：提出质疑时须注明项目名称及项目编号 。</w:t>
            </w:r>
          </w:p>
          <w:p>
            <w:pPr>
              <w:autoSpaceDE w:val="0"/>
              <w:autoSpaceDN w:val="0"/>
              <w:spacing w:line="360" w:lineRule="auto"/>
              <w:ind w:firstLine="411" w:firstLineChars="196"/>
              <w:rPr>
                <w:rFonts w:ascii="宋体" w:hAnsi="宋体" w:cs="宋体"/>
                <w:kern w:val="0"/>
              </w:rPr>
            </w:pPr>
            <w:r>
              <w:rPr>
                <w:rFonts w:hint="eastAsia" w:ascii="宋体" w:hAnsi="宋体" w:cs="宋体"/>
                <w:kern w:val="0"/>
              </w:rPr>
              <w:t>询问答复及澄清或修改：在</w:t>
            </w:r>
            <w:r>
              <w:rPr>
                <w:rFonts w:hint="eastAsia"/>
                <w:u w:val="single"/>
              </w:rPr>
              <w:t>安徽养城建设发展集团有限公司</w:t>
            </w:r>
            <w:r>
              <w:rPr>
                <w:rFonts w:hint="eastAsia" w:ascii="宋体" w:hAnsi="宋体" w:cs="宋体"/>
                <w:kern w:val="0"/>
              </w:rPr>
              <w:t>网站（</w:t>
            </w:r>
            <w:r>
              <w:fldChar w:fldCharType="begin"/>
            </w:r>
            <w:r>
              <w:instrText xml:space="preserve"> HYPERLINK "http://www.ahycjt.cn/" </w:instrText>
            </w:r>
            <w:r>
              <w:fldChar w:fldCharType="separate"/>
            </w:r>
            <w:r>
              <w:rPr>
                <w:rStyle w:val="23"/>
                <w:rFonts w:ascii="宋体" w:hAnsi="宋体" w:cs="宋体"/>
                <w:sz w:val="24"/>
                <w:szCs w:val="24"/>
              </w:rPr>
              <w:t>(http://www.ahycjt.cn/)</w:t>
            </w:r>
            <w:r>
              <w:rPr>
                <w:rStyle w:val="23"/>
                <w:rFonts w:ascii="宋体" w:hAnsi="宋体" w:cs="宋体"/>
                <w:sz w:val="24"/>
                <w:szCs w:val="24"/>
              </w:rPr>
              <w:fldChar w:fldCharType="end"/>
            </w:r>
            <w:r>
              <w:rPr>
                <w:rFonts w:hint="eastAsia" w:ascii="宋体" w:hAnsi="宋体" w:cs="宋体"/>
                <w:kern w:val="0"/>
              </w:rPr>
              <w:t>，采购人不再另行通知。</w:t>
            </w:r>
          </w:p>
          <w:p>
            <w:pPr>
              <w:autoSpaceDE w:val="0"/>
              <w:autoSpaceDN w:val="0"/>
              <w:spacing w:line="360" w:lineRule="auto"/>
              <w:rPr>
                <w:rFonts w:ascii="宋体" w:hAnsi="宋体" w:cs="宋体"/>
                <w:kern w:val="0"/>
              </w:rPr>
            </w:pPr>
            <w:r>
              <w:rPr>
                <w:rFonts w:hint="eastAsia" w:ascii="宋体" w:hAnsi="宋体" w:cs="宋体"/>
                <w:kern w:val="0"/>
              </w:rPr>
              <w:t>该答复内容及澄清或修改内容为</w:t>
            </w:r>
            <w:r>
              <w:rPr>
                <w:rFonts w:hint="eastAsia" w:ascii="宋体" w:hAnsi="宋体"/>
                <w:kern w:val="0"/>
              </w:rPr>
              <w:t>采购</w:t>
            </w:r>
            <w:r>
              <w:rPr>
                <w:rFonts w:hint="eastAsia" w:ascii="宋体" w:hAnsi="宋体" w:cs="宋体"/>
                <w:kern w:val="0"/>
              </w:rPr>
              <w:t>文件的组成部分</w:t>
            </w:r>
            <w:r>
              <w:rPr>
                <w:rFonts w:hint="eastAsia" w:ascii="宋体" w:hAnsi="宋体"/>
                <w:kern w:val="0"/>
              </w:rPr>
              <w:t>，对供应商具有同样约束力效力。</w:t>
            </w:r>
            <w:r>
              <w:rPr>
                <w:rFonts w:hint="eastAsia" w:ascii="宋体" w:hAnsi="宋体" w:cs="宋体"/>
                <w:kern w:val="0"/>
              </w:rPr>
              <w:t>（所有潜在</w:t>
            </w:r>
            <w:r>
              <w:rPr>
                <w:rFonts w:hint="eastAsia" w:ascii="宋体" w:hAnsi="宋体"/>
                <w:kern w:val="0"/>
              </w:rPr>
              <w:t>供应商</w:t>
            </w:r>
            <w:r>
              <w:rPr>
                <w:rFonts w:hint="eastAsia" w:ascii="宋体" w:hAnsi="宋体" w:cs="宋体"/>
                <w:kern w:val="0"/>
              </w:rPr>
              <w:t>在响应文件提交截止时间前有义务在</w:t>
            </w:r>
            <w:r>
              <w:rPr>
                <w:rFonts w:hint="eastAsia"/>
                <w:u w:val="single"/>
              </w:rPr>
              <w:t>安徽养城建设发展集团有限公司</w:t>
            </w:r>
            <w:r>
              <w:rPr>
                <w:rFonts w:hint="eastAsia" w:ascii="宋体" w:hAnsi="宋体" w:cs="宋体"/>
                <w:kern w:val="0"/>
              </w:rPr>
              <w:t>网站（</w:t>
            </w:r>
            <w:r>
              <w:fldChar w:fldCharType="begin"/>
            </w:r>
            <w:r>
              <w:instrText xml:space="preserve"> HYPERLINK "http://www.ahycjt.cn/" </w:instrText>
            </w:r>
            <w:r>
              <w:fldChar w:fldCharType="separate"/>
            </w:r>
            <w:r>
              <w:rPr>
                <w:rStyle w:val="23"/>
                <w:rFonts w:ascii="宋体" w:hAnsi="宋体" w:cs="宋体"/>
                <w:sz w:val="24"/>
                <w:szCs w:val="24"/>
              </w:rPr>
              <w:t>(http://www.ahycjt.cn/)</w:t>
            </w:r>
            <w:r>
              <w:rPr>
                <w:rStyle w:val="23"/>
                <w:rFonts w:ascii="宋体" w:hAnsi="宋体" w:cs="宋体"/>
                <w:sz w:val="24"/>
                <w:szCs w:val="24"/>
              </w:rPr>
              <w:fldChar w:fldCharType="end"/>
            </w:r>
            <w:r>
              <w:rPr>
                <w:rFonts w:hint="eastAsia" w:ascii="宋体" w:hAnsi="宋体" w:cs="宋体"/>
                <w:kern w:val="0"/>
              </w:rPr>
              <w:t>自行查询，澄清、修改及答疑回复视为全部知晓，无需回复确认。）</w:t>
            </w:r>
          </w:p>
          <w:p>
            <w:pPr>
              <w:widowControl/>
              <w:numPr>
                <w:ilvl w:val="0"/>
                <w:numId w:val="1"/>
              </w:numPr>
              <w:shd w:val="clear" w:color="auto" w:fill="FFFFFF"/>
              <w:autoSpaceDE w:val="0"/>
              <w:autoSpaceDN w:val="0"/>
              <w:spacing w:line="360" w:lineRule="auto"/>
            </w:pPr>
            <w:r>
              <w:rPr>
                <w:rFonts w:ascii="宋体" w:hAnsi="宋体" w:cs="宋体"/>
                <w:kern w:val="0"/>
              </w:rPr>
              <w:t>供应商认为采购过程、成交结果使自己的权益受到损害的</w:t>
            </w:r>
            <w:r>
              <w:rPr>
                <w:rFonts w:hint="eastAsia" w:ascii="宋体" w:hAnsi="宋体" w:cs="宋体"/>
                <w:kern w:val="0"/>
              </w:rPr>
              <w:t>，</w:t>
            </w:r>
            <w:r>
              <w:rPr>
                <w:rFonts w:ascii="宋体" w:hAnsi="宋体" w:cs="宋体"/>
                <w:kern w:val="0"/>
              </w:rPr>
              <w:t>可以在知道或者应知其权益受到损害之日起7个工作日内，以书面形式</w:t>
            </w:r>
            <w:r>
              <w:rPr>
                <w:rFonts w:hint="eastAsia" w:ascii="宋体" w:hAnsi="宋体" w:cs="宋体"/>
                <w:kern w:val="0"/>
              </w:rPr>
              <w:t>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before="1" w:line="360" w:lineRule="auto"/>
              <w:ind w:right="109"/>
              <w:jc w:val="center"/>
              <w:rPr>
                <w:sz w:val="21"/>
                <w:szCs w:val="21"/>
                <w:lang w:val="en-US"/>
              </w:rPr>
            </w:pPr>
            <w:r>
              <w:rPr>
                <w:rFonts w:hint="eastAsia"/>
                <w:sz w:val="21"/>
                <w:szCs w:val="21"/>
                <w:lang w:val="en-US"/>
              </w:rPr>
              <w:t>16</w:t>
            </w:r>
          </w:p>
        </w:tc>
        <w:tc>
          <w:tcPr>
            <w:tcW w:w="1935" w:type="dxa"/>
            <w:shd w:val="clear" w:color="auto" w:fill="auto"/>
            <w:vAlign w:val="center"/>
          </w:tcPr>
          <w:p>
            <w:pPr>
              <w:widowControl/>
              <w:jc w:val="left"/>
            </w:pPr>
            <w:r>
              <w:rPr>
                <w:rFonts w:hint="eastAsia" w:ascii="宋体" w:hAnsi="宋体" w:cs="宋体"/>
                <w:color w:val="000000"/>
                <w:kern w:val="0"/>
                <w:lang w:bidi="ar"/>
              </w:rPr>
              <w:t>报价方式</w:t>
            </w:r>
          </w:p>
          <w:p>
            <w:pPr>
              <w:autoSpaceDE w:val="0"/>
              <w:autoSpaceDN w:val="0"/>
              <w:spacing w:line="360" w:lineRule="auto"/>
              <w:rPr>
                <w:rFonts w:ascii="宋体" w:hAnsi="宋体"/>
                <w:kern w:val="0"/>
              </w:rPr>
            </w:pPr>
          </w:p>
        </w:tc>
        <w:tc>
          <w:tcPr>
            <w:tcW w:w="6711" w:type="dxa"/>
            <w:shd w:val="clear" w:color="auto" w:fill="auto"/>
            <w:vAlign w:val="center"/>
          </w:tcPr>
          <w:p>
            <w:pPr>
              <w:widowControl/>
              <w:jc w:val="left"/>
            </w:pPr>
            <w:r>
              <w:rPr>
                <w:rFonts w:hint="eastAsia" w:ascii="宋体" w:hAnsi="宋体" w:cs="宋体"/>
                <w:color w:val="000000"/>
                <w:kern w:val="0"/>
                <w:lang w:bidi="ar"/>
              </w:rPr>
              <w:t xml:space="preserve">固定费率报价 </w:t>
            </w:r>
          </w:p>
          <w:p>
            <w:pPr>
              <w:widowControl/>
              <w:shd w:val="clear" w:color="auto" w:fill="FFFFFF"/>
              <w:autoSpaceDE w:val="0"/>
              <w:autoSpaceDN w:val="0"/>
              <w:spacing w:line="360" w:lineRule="auto"/>
              <w:rPr>
                <w:rFonts w:ascii="宋体" w:hAnsi="宋体" w:cs="宋体"/>
                <w:kern w:val="0"/>
              </w:rPr>
            </w:pPr>
            <w:r>
              <w:rPr>
                <w:rFonts w:hint="eastAsia" w:ascii="宋体" w:hAnsi="宋体" w:cs="宋体"/>
                <w:color w:val="000000"/>
                <w:kern w:val="0"/>
                <w:lang w:bidi="ar"/>
              </w:rPr>
              <w:t>监理服务费=工程结算审定价格×成交监理费率。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before="1" w:line="360" w:lineRule="auto"/>
              <w:ind w:right="109"/>
              <w:jc w:val="center"/>
              <w:rPr>
                <w:sz w:val="21"/>
                <w:szCs w:val="21"/>
                <w:lang w:val="en-US"/>
              </w:rPr>
            </w:pPr>
            <w:r>
              <w:rPr>
                <w:rFonts w:hint="eastAsia"/>
                <w:sz w:val="21"/>
                <w:szCs w:val="21"/>
                <w:lang w:val="en-US"/>
              </w:rPr>
              <w:t>17</w:t>
            </w:r>
          </w:p>
        </w:tc>
        <w:tc>
          <w:tcPr>
            <w:tcW w:w="1935" w:type="dxa"/>
            <w:shd w:val="clear" w:color="auto" w:fill="auto"/>
            <w:vAlign w:val="center"/>
          </w:tcPr>
          <w:p>
            <w:pPr>
              <w:widowControl/>
              <w:jc w:val="left"/>
            </w:pPr>
            <w:r>
              <w:rPr>
                <w:rFonts w:hint="eastAsia" w:ascii="宋体" w:hAnsi="宋体" w:cs="宋体"/>
                <w:color w:val="000000"/>
                <w:kern w:val="0"/>
                <w:lang w:bidi="ar"/>
              </w:rPr>
              <w:t xml:space="preserve">最高投标限价 </w:t>
            </w:r>
          </w:p>
          <w:p>
            <w:pPr>
              <w:autoSpaceDE w:val="0"/>
              <w:autoSpaceDN w:val="0"/>
              <w:spacing w:line="360" w:lineRule="auto"/>
              <w:rPr>
                <w:rFonts w:ascii="宋体" w:hAnsi="宋体"/>
                <w:kern w:val="0"/>
              </w:rPr>
            </w:pPr>
          </w:p>
        </w:tc>
        <w:tc>
          <w:tcPr>
            <w:tcW w:w="6711" w:type="dxa"/>
            <w:shd w:val="clear" w:color="auto" w:fill="auto"/>
            <w:vAlign w:val="center"/>
          </w:tcPr>
          <w:p>
            <w:pPr>
              <w:widowControl/>
              <w:jc w:val="left"/>
            </w:pPr>
            <w:r>
              <w:rPr>
                <w:rFonts w:hint="eastAsia" w:ascii="宋体" w:hAnsi="宋体" w:cs="宋体"/>
                <w:color w:val="000000"/>
                <w:kern w:val="0"/>
                <w:lang w:bidi="ar"/>
              </w:rPr>
              <w:t>□无</w:t>
            </w:r>
          </w:p>
          <w:p>
            <w:pPr>
              <w:widowControl/>
              <w:jc w:val="left"/>
              <w:rPr>
                <w:rFonts w:ascii="宋体" w:hAnsi="宋体" w:cs="宋体"/>
                <w:kern w:val="0"/>
              </w:rPr>
            </w:pPr>
            <w:r>
              <w:rPr>
                <w:rFonts w:hint="eastAsia" w:ascii="宋体" w:hAnsi="宋体" w:cs="宋体"/>
                <w:color w:val="000000"/>
                <w:kern w:val="0"/>
                <w:lang w:bidi="ar"/>
              </w:rPr>
              <w:t>■有，最高投标限价： 监理费率不得高于或等于3.2% 。（控制价可以按照最高标准取费填写具体数值，最高限价可以低于最高标准费率，可以写小于3.2%的数值）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18</w:t>
            </w:r>
          </w:p>
        </w:tc>
        <w:tc>
          <w:tcPr>
            <w:tcW w:w="1935" w:type="dxa"/>
            <w:shd w:val="clear" w:color="auto" w:fill="auto"/>
            <w:vAlign w:val="center"/>
          </w:tcPr>
          <w:p>
            <w:pPr>
              <w:pStyle w:val="45"/>
              <w:spacing w:line="360" w:lineRule="auto"/>
              <w:ind w:firstLine="210" w:firstLineChars="100"/>
              <w:jc w:val="both"/>
              <w:rPr>
                <w:sz w:val="21"/>
                <w:szCs w:val="21"/>
                <w:lang w:eastAsia="en-US"/>
              </w:rPr>
            </w:pPr>
            <w:r>
              <w:rPr>
                <w:sz w:val="21"/>
                <w:szCs w:val="21"/>
                <w:lang w:eastAsia="en-US"/>
              </w:rPr>
              <w:t>包别划分</w:t>
            </w:r>
          </w:p>
        </w:tc>
        <w:tc>
          <w:tcPr>
            <w:tcW w:w="6711" w:type="dxa"/>
            <w:shd w:val="clear" w:color="auto" w:fill="auto"/>
            <w:vAlign w:val="center"/>
          </w:tcPr>
          <w:p>
            <w:pPr>
              <w:pStyle w:val="45"/>
              <w:tabs>
                <w:tab w:val="left" w:pos="1668"/>
                <w:tab w:val="left" w:pos="2628"/>
              </w:tabs>
              <w:spacing w:before="40" w:line="360" w:lineRule="auto"/>
              <w:ind w:left="108"/>
              <w:jc w:val="both"/>
              <w:rPr>
                <w:sz w:val="21"/>
                <w:szCs w:val="21"/>
              </w:rPr>
            </w:pPr>
            <w:r>
              <w:rPr>
                <w:rFonts w:hint="eastAsia"/>
                <w:sz w:val="21"/>
                <w:szCs w:val="21"/>
              </w:rPr>
              <w:t>■</w:t>
            </w:r>
            <w:r>
              <w:rPr>
                <w:sz w:val="21"/>
                <w:szCs w:val="21"/>
              </w:rPr>
              <w:t>不分包</w:t>
            </w:r>
            <w:r>
              <w:rPr>
                <w:sz w:val="21"/>
                <w:szCs w:val="21"/>
              </w:rPr>
              <w:tab/>
            </w:r>
            <w:r>
              <w:rPr>
                <w:sz w:val="21"/>
                <w:szCs w:val="21"/>
              </w:rPr>
              <w:t>□分为</w:t>
            </w:r>
            <w:r>
              <w:rPr>
                <w:sz w:val="21"/>
                <w:szCs w:val="21"/>
              </w:rPr>
              <w:tab/>
            </w:r>
            <w:r>
              <w:rPr>
                <w:sz w:val="21"/>
                <w:szCs w:val="21"/>
              </w:rPr>
              <w:t>个包</w:t>
            </w:r>
          </w:p>
          <w:p>
            <w:pPr>
              <w:pStyle w:val="45"/>
              <w:tabs>
                <w:tab w:val="left" w:pos="5415"/>
              </w:tabs>
              <w:spacing w:before="161" w:line="360" w:lineRule="auto"/>
              <w:ind w:left="108"/>
              <w:jc w:val="both"/>
              <w:rPr>
                <w:sz w:val="21"/>
                <w:szCs w:val="21"/>
              </w:rPr>
            </w:pPr>
            <w:r>
              <w:rPr>
                <w:sz w:val="21"/>
                <w:szCs w:val="21"/>
              </w:rPr>
              <w:t>供应商参加多个包竞争性磋商的成交包数规定：</w:t>
            </w:r>
            <w:r>
              <w:rPr>
                <w:sz w:val="21"/>
                <w:szCs w:val="21"/>
                <w:u w:val="single"/>
              </w:rPr>
              <w:t xml:space="preserve"> </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99" w:type="dxa"/>
            <w:shd w:val="clear" w:color="auto" w:fill="auto"/>
            <w:vAlign w:val="center"/>
          </w:tcPr>
          <w:p>
            <w:pPr>
              <w:pStyle w:val="45"/>
              <w:spacing w:before="19" w:line="360" w:lineRule="auto"/>
              <w:ind w:right="249"/>
              <w:jc w:val="center"/>
              <w:rPr>
                <w:sz w:val="21"/>
                <w:szCs w:val="21"/>
                <w:lang w:val="en-US"/>
              </w:rPr>
            </w:pPr>
            <w:r>
              <w:rPr>
                <w:rFonts w:hint="eastAsia"/>
                <w:sz w:val="21"/>
                <w:szCs w:val="21"/>
                <w:lang w:val="en-US"/>
              </w:rPr>
              <w:t>19</w:t>
            </w:r>
          </w:p>
        </w:tc>
        <w:tc>
          <w:tcPr>
            <w:tcW w:w="1935" w:type="dxa"/>
            <w:shd w:val="clear" w:color="auto" w:fill="auto"/>
            <w:vAlign w:val="center"/>
          </w:tcPr>
          <w:p>
            <w:pPr>
              <w:pStyle w:val="45"/>
              <w:spacing w:before="19" w:line="360" w:lineRule="auto"/>
              <w:ind w:left="107"/>
              <w:jc w:val="both"/>
              <w:rPr>
                <w:sz w:val="21"/>
                <w:szCs w:val="21"/>
                <w:lang w:eastAsia="en-US"/>
              </w:rPr>
            </w:pPr>
            <w:r>
              <w:rPr>
                <w:sz w:val="21"/>
                <w:szCs w:val="21"/>
                <w:lang w:eastAsia="en-US"/>
              </w:rPr>
              <w:t>竞争性磋商有效期</w:t>
            </w:r>
          </w:p>
        </w:tc>
        <w:tc>
          <w:tcPr>
            <w:tcW w:w="6711" w:type="dxa"/>
            <w:shd w:val="clear" w:color="auto" w:fill="auto"/>
            <w:vAlign w:val="center"/>
          </w:tcPr>
          <w:p>
            <w:pPr>
              <w:pStyle w:val="45"/>
              <w:tabs>
                <w:tab w:val="left" w:pos="828"/>
              </w:tabs>
              <w:spacing w:before="19" w:line="360" w:lineRule="auto"/>
              <w:ind w:left="108"/>
              <w:jc w:val="both"/>
              <w:rPr>
                <w:sz w:val="21"/>
                <w:szCs w:val="21"/>
                <w:lang w:eastAsia="en-US"/>
              </w:rPr>
            </w:pPr>
            <w:r>
              <w:rPr>
                <w:rFonts w:hint="eastAsia"/>
                <w:sz w:val="21"/>
                <w:szCs w:val="21"/>
                <w:u w:val="single"/>
                <w:lang w:val="en-US"/>
              </w:rPr>
              <w:t xml:space="preserve">90 </w:t>
            </w:r>
            <w:r>
              <w:rPr>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9" w:type="dxa"/>
            <w:shd w:val="clear" w:color="auto" w:fill="auto"/>
            <w:vAlign w:val="center"/>
          </w:tcPr>
          <w:p>
            <w:pPr>
              <w:pStyle w:val="45"/>
              <w:spacing w:before="16" w:line="360" w:lineRule="auto"/>
              <w:ind w:right="249"/>
              <w:jc w:val="center"/>
              <w:rPr>
                <w:sz w:val="21"/>
                <w:szCs w:val="21"/>
                <w:lang w:val="en-US"/>
              </w:rPr>
            </w:pPr>
            <w:r>
              <w:rPr>
                <w:rFonts w:hint="eastAsia"/>
                <w:sz w:val="21"/>
                <w:szCs w:val="21"/>
                <w:lang w:val="en-US"/>
              </w:rPr>
              <w:t>20</w:t>
            </w:r>
          </w:p>
        </w:tc>
        <w:tc>
          <w:tcPr>
            <w:tcW w:w="1935" w:type="dxa"/>
            <w:shd w:val="clear" w:color="auto" w:fill="auto"/>
            <w:vAlign w:val="center"/>
          </w:tcPr>
          <w:p>
            <w:pPr>
              <w:pStyle w:val="45"/>
              <w:spacing w:before="16" w:line="360" w:lineRule="auto"/>
              <w:ind w:left="107"/>
              <w:jc w:val="both"/>
              <w:rPr>
                <w:sz w:val="21"/>
                <w:szCs w:val="21"/>
                <w:lang w:eastAsia="en-US"/>
              </w:rPr>
            </w:pPr>
            <w:r>
              <w:rPr>
                <w:sz w:val="21"/>
                <w:szCs w:val="21"/>
                <w:lang w:eastAsia="en-US"/>
              </w:rPr>
              <w:t>响应文件要求</w:t>
            </w:r>
          </w:p>
        </w:tc>
        <w:tc>
          <w:tcPr>
            <w:tcW w:w="6711" w:type="dxa"/>
            <w:shd w:val="clear" w:color="auto" w:fill="auto"/>
            <w:vAlign w:val="center"/>
          </w:tcPr>
          <w:p>
            <w:pPr>
              <w:pStyle w:val="45"/>
              <w:spacing w:before="16" w:line="360" w:lineRule="auto"/>
              <w:ind w:left="108"/>
              <w:rPr>
                <w:sz w:val="21"/>
                <w:szCs w:val="21"/>
              </w:rPr>
            </w:pPr>
            <w:r>
              <w:rPr>
                <w:rFonts w:hint="eastAsia"/>
                <w:sz w:val="21"/>
                <w:szCs w:val="21"/>
              </w:rPr>
              <w:t>1、响应文件正副本份数：1正</w:t>
            </w:r>
            <w:r>
              <w:rPr>
                <w:rFonts w:hint="eastAsia"/>
                <w:sz w:val="21"/>
                <w:szCs w:val="21"/>
                <w:lang w:val="en-US"/>
              </w:rPr>
              <w:t>2</w:t>
            </w:r>
            <w:r>
              <w:rPr>
                <w:rFonts w:hint="eastAsia"/>
                <w:sz w:val="21"/>
                <w:szCs w:val="21"/>
              </w:rPr>
              <w:t>副；</w:t>
            </w:r>
          </w:p>
          <w:p>
            <w:pPr>
              <w:pStyle w:val="45"/>
              <w:spacing w:before="16" w:line="360" w:lineRule="auto"/>
              <w:ind w:left="108"/>
              <w:rPr>
                <w:sz w:val="21"/>
                <w:szCs w:val="21"/>
              </w:rPr>
            </w:pPr>
            <w:r>
              <w:rPr>
                <w:rFonts w:hint="eastAsia"/>
                <w:sz w:val="21"/>
                <w:szCs w:val="21"/>
              </w:rPr>
              <w:t>2、是否要求提交电子版文件：要求；</w:t>
            </w:r>
          </w:p>
          <w:p>
            <w:pPr>
              <w:pStyle w:val="45"/>
              <w:spacing w:before="16" w:line="360" w:lineRule="auto"/>
              <w:ind w:left="108"/>
              <w:rPr>
                <w:sz w:val="21"/>
                <w:szCs w:val="21"/>
              </w:rPr>
            </w:pPr>
            <w:r>
              <w:rPr>
                <w:rFonts w:hint="eastAsia"/>
                <w:sz w:val="21"/>
                <w:szCs w:val="21"/>
              </w:rPr>
              <w:t>电子版份数：现场提交纸质版响应文件，同时递交密封完好、内容与纸质版响应文件一致且签字盖章齐全的电子版响应文件（U盘）一份（要求保证U盘内响应文件的完整性）。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249"/>
              <w:jc w:val="center"/>
              <w:rPr>
                <w:sz w:val="21"/>
                <w:szCs w:val="21"/>
                <w:lang w:val="en-US"/>
              </w:rPr>
            </w:pPr>
            <w:r>
              <w:rPr>
                <w:rFonts w:hint="eastAsia"/>
                <w:sz w:val="21"/>
                <w:szCs w:val="21"/>
                <w:lang w:val="en-US"/>
              </w:rPr>
              <w:t>21</w:t>
            </w:r>
          </w:p>
        </w:tc>
        <w:tc>
          <w:tcPr>
            <w:tcW w:w="1935" w:type="dxa"/>
            <w:shd w:val="clear" w:color="auto" w:fill="auto"/>
            <w:vAlign w:val="center"/>
          </w:tcPr>
          <w:p>
            <w:pPr>
              <w:pStyle w:val="45"/>
              <w:spacing w:line="360" w:lineRule="auto"/>
              <w:ind w:left="107"/>
              <w:jc w:val="both"/>
              <w:rPr>
                <w:sz w:val="21"/>
                <w:szCs w:val="21"/>
              </w:rPr>
            </w:pPr>
            <w:r>
              <w:rPr>
                <w:sz w:val="21"/>
                <w:szCs w:val="21"/>
              </w:rPr>
              <w:t>竞争性磋商现场提交的其他材料要求</w:t>
            </w:r>
          </w:p>
        </w:tc>
        <w:tc>
          <w:tcPr>
            <w:tcW w:w="6711" w:type="dxa"/>
            <w:shd w:val="clear" w:color="auto" w:fill="auto"/>
            <w:vAlign w:val="center"/>
          </w:tcPr>
          <w:p>
            <w:pPr>
              <w:pStyle w:val="45"/>
              <w:spacing w:line="360" w:lineRule="auto"/>
              <w:jc w:val="both"/>
              <w:rPr>
                <w:sz w:val="21"/>
                <w:szCs w:val="21"/>
              </w:rPr>
            </w:pPr>
            <w:r>
              <w:rPr>
                <w:rFonts w:hint="eastAsia"/>
                <w:sz w:val="21"/>
                <w:szCs w:val="21"/>
              </w:rPr>
              <w:t xml:space="preserve">                   </w:t>
            </w: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249"/>
              <w:jc w:val="center"/>
              <w:rPr>
                <w:sz w:val="21"/>
                <w:szCs w:val="21"/>
                <w:lang w:val="en-US"/>
              </w:rPr>
            </w:pPr>
            <w:r>
              <w:rPr>
                <w:rFonts w:hint="eastAsia"/>
                <w:sz w:val="21"/>
                <w:szCs w:val="21"/>
                <w:lang w:val="en-US"/>
              </w:rPr>
              <w:t>22</w:t>
            </w:r>
          </w:p>
        </w:tc>
        <w:tc>
          <w:tcPr>
            <w:tcW w:w="1935" w:type="dxa"/>
            <w:shd w:val="clear" w:color="auto" w:fill="auto"/>
            <w:vAlign w:val="center"/>
          </w:tcPr>
          <w:p>
            <w:pPr>
              <w:pStyle w:val="45"/>
              <w:spacing w:line="360" w:lineRule="auto"/>
              <w:ind w:left="107"/>
              <w:jc w:val="both"/>
              <w:rPr>
                <w:sz w:val="21"/>
                <w:szCs w:val="21"/>
              </w:rPr>
            </w:pPr>
            <w:r>
              <w:rPr>
                <w:sz w:val="21"/>
                <w:szCs w:val="21"/>
              </w:rPr>
              <w:t>响应文件提交截</w:t>
            </w:r>
          </w:p>
          <w:p>
            <w:pPr>
              <w:pStyle w:val="45"/>
              <w:spacing w:before="160" w:line="360" w:lineRule="auto"/>
              <w:ind w:left="107"/>
              <w:jc w:val="both"/>
              <w:rPr>
                <w:sz w:val="21"/>
                <w:szCs w:val="21"/>
              </w:rPr>
            </w:pPr>
            <w:r>
              <w:rPr>
                <w:sz w:val="21"/>
                <w:szCs w:val="21"/>
              </w:rPr>
              <w:t>止时间</w:t>
            </w:r>
          </w:p>
        </w:tc>
        <w:tc>
          <w:tcPr>
            <w:tcW w:w="6711" w:type="dxa"/>
            <w:shd w:val="clear" w:color="auto" w:fill="auto"/>
            <w:vAlign w:val="center"/>
          </w:tcPr>
          <w:p>
            <w:pPr>
              <w:pStyle w:val="45"/>
              <w:spacing w:line="360" w:lineRule="auto"/>
              <w:jc w:val="both"/>
              <w:rPr>
                <w:sz w:val="21"/>
                <w:szCs w:val="21"/>
              </w:rPr>
            </w:pPr>
            <w:r>
              <w:rPr>
                <w:sz w:val="21"/>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99" w:type="dxa"/>
            <w:shd w:val="clear" w:color="auto" w:fill="auto"/>
            <w:vAlign w:val="center"/>
          </w:tcPr>
          <w:p>
            <w:pPr>
              <w:pStyle w:val="45"/>
              <w:spacing w:line="360" w:lineRule="auto"/>
              <w:ind w:right="249"/>
              <w:jc w:val="center"/>
              <w:rPr>
                <w:sz w:val="21"/>
                <w:szCs w:val="21"/>
                <w:lang w:val="en-US"/>
              </w:rPr>
            </w:pPr>
            <w:r>
              <w:rPr>
                <w:rFonts w:hint="eastAsia"/>
                <w:sz w:val="21"/>
                <w:szCs w:val="21"/>
                <w:lang w:val="en-US"/>
              </w:rPr>
              <w:t>23</w:t>
            </w:r>
          </w:p>
        </w:tc>
        <w:tc>
          <w:tcPr>
            <w:tcW w:w="1935" w:type="dxa"/>
            <w:shd w:val="clear" w:color="auto" w:fill="auto"/>
            <w:vAlign w:val="center"/>
          </w:tcPr>
          <w:p>
            <w:pPr>
              <w:pStyle w:val="45"/>
              <w:spacing w:before="161" w:line="360" w:lineRule="auto"/>
              <w:ind w:left="107"/>
              <w:jc w:val="both"/>
              <w:rPr>
                <w:sz w:val="21"/>
                <w:szCs w:val="21"/>
              </w:rPr>
            </w:pPr>
            <w:r>
              <w:rPr>
                <w:rFonts w:hint="eastAsia"/>
                <w:sz w:val="21"/>
                <w:szCs w:val="21"/>
              </w:rPr>
              <w:t>响应文件份数装订要求</w:t>
            </w:r>
          </w:p>
        </w:tc>
        <w:tc>
          <w:tcPr>
            <w:tcW w:w="6711" w:type="dxa"/>
            <w:shd w:val="clear" w:color="auto" w:fill="auto"/>
            <w:vAlign w:val="center"/>
          </w:tcPr>
          <w:p>
            <w:pPr>
              <w:pStyle w:val="45"/>
              <w:spacing w:line="360" w:lineRule="auto"/>
              <w:ind w:left="108"/>
              <w:rPr>
                <w:sz w:val="21"/>
                <w:szCs w:val="21"/>
              </w:rPr>
            </w:pPr>
            <w:r>
              <w:rPr>
                <w:rFonts w:hint="eastAsia"/>
                <w:sz w:val="21"/>
                <w:szCs w:val="21"/>
              </w:rPr>
              <w:t>（1）装订要求：响应文件每册均需采用胶装，装订应牢固、不易拆散和换页，不得采用活页装订。</w:t>
            </w:r>
          </w:p>
          <w:p>
            <w:pPr>
              <w:pStyle w:val="45"/>
              <w:spacing w:before="161" w:line="360" w:lineRule="auto"/>
              <w:ind w:left="108"/>
              <w:jc w:val="both"/>
              <w:rPr>
                <w:sz w:val="21"/>
                <w:szCs w:val="21"/>
              </w:rPr>
            </w:pPr>
            <w:r>
              <w:rPr>
                <w:rFonts w:hint="eastAsia"/>
                <w:sz w:val="21"/>
                <w:szCs w:val="21"/>
              </w:rPr>
              <w:t>（2）密封要求：响应文件封套的封口处加贴封条，并在封套的封口处加盖供应商单位公章。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9" w:type="dxa"/>
            <w:vMerge w:val="restart"/>
            <w:shd w:val="clear" w:color="auto" w:fill="auto"/>
            <w:vAlign w:val="center"/>
          </w:tcPr>
          <w:p>
            <w:pPr>
              <w:pStyle w:val="45"/>
              <w:spacing w:before="1" w:line="360" w:lineRule="auto"/>
              <w:jc w:val="center"/>
              <w:rPr>
                <w:sz w:val="21"/>
                <w:szCs w:val="21"/>
                <w:lang w:val="en-US"/>
              </w:rPr>
            </w:pPr>
            <w:r>
              <w:rPr>
                <w:rFonts w:hint="eastAsia"/>
                <w:sz w:val="21"/>
                <w:szCs w:val="21"/>
                <w:lang w:val="en-US"/>
              </w:rPr>
              <w:t>24</w:t>
            </w:r>
          </w:p>
        </w:tc>
        <w:tc>
          <w:tcPr>
            <w:tcW w:w="1935" w:type="dxa"/>
            <w:shd w:val="clear" w:color="auto" w:fill="auto"/>
            <w:vAlign w:val="center"/>
          </w:tcPr>
          <w:p>
            <w:pPr>
              <w:pStyle w:val="45"/>
              <w:spacing w:before="16" w:line="360" w:lineRule="auto"/>
              <w:ind w:left="107"/>
              <w:jc w:val="both"/>
              <w:rPr>
                <w:sz w:val="21"/>
                <w:szCs w:val="21"/>
                <w:lang w:eastAsia="en-US"/>
              </w:rPr>
            </w:pPr>
            <w:r>
              <w:rPr>
                <w:sz w:val="21"/>
                <w:szCs w:val="21"/>
                <w:lang w:eastAsia="en-US"/>
              </w:rPr>
              <w:t>竞争性磋商时间</w:t>
            </w:r>
          </w:p>
        </w:tc>
        <w:tc>
          <w:tcPr>
            <w:tcW w:w="6711" w:type="dxa"/>
            <w:shd w:val="clear" w:color="auto" w:fill="auto"/>
            <w:vAlign w:val="center"/>
          </w:tcPr>
          <w:p>
            <w:pPr>
              <w:pStyle w:val="45"/>
              <w:spacing w:before="16" w:line="360" w:lineRule="auto"/>
              <w:ind w:left="108"/>
              <w:jc w:val="both"/>
              <w:rPr>
                <w:sz w:val="21"/>
                <w:szCs w:val="21"/>
              </w:rPr>
            </w:pPr>
            <w:r>
              <w:rPr>
                <w:sz w:val="21"/>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9" w:type="dxa"/>
            <w:vMerge w:val="continue"/>
            <w:tcBorders>
              <w:top w:val="nil"/>
            </w:tcBorders>
            <w:shd w:val="clear" w:color="auto" w:fill="auto"/>
            <w:vAlign w:val="center"/>
          </w:tcPr>
          <w:p>
            <w:pPr>
              <w:autoSpaceDE w:val="0"/>
              <w:autoSpaceDN w:val="0"/>
              <w:spacing w:line="360" w:lineRule="auto"/>
              <w:jc w:val="center"/>
              <w:rPr>
                <w:rFonts w:ascii="宋体" w:hAnsi="宋体"/>
                <w:kern w:val="0"/>
              </w:rPr>
            </w:pPr>
          </w:p>
        </w:tc>
        <w:tc>
          <w:tcPr>
            <w:tcW w:w="1935" w:type="dxa"/>
            <w:shd w:val="clear" w:color="auto" w:fill="auto"/>
            <w:vAlign w:val="center"/>
          </w:tcPr>
          <w:p>
            <w:pPr>
              <w:pStyle w:val="45"/>
              <w:spacing w:before="16" w:line="360" w:lineRule="auto"/>
              <w:ind w:left="107"/>
              <w:jc w:val="both"/>
              <w:rPr>
                <w:sz w:val="21"/>
                <w:szCs w:val="21"/>
                <w:lang w:eastAsia="en-US"/>
              </w:rPr>
            </w:pPr>
            <w:r>
              <w:rPr>
                <w:sz w:val="21"/>
                <w:szCs w:val="21"/>
                <w:lang w:eastAsia="en-US"/>
              </w:rPr>
              <w:t>竞争性磋商地点</w:t>
            </w:r>
          </w:p>
        </w:tc>
        <w:tc>
          <w:tcPr>
            <w:tcW w:w="6711" w:type="dxa"/>
            <w:shd w:val="clear" w:color="auto" w:fill="auto"/>
            <w:vAlign w:val="center"/>
          </w:tcPr>
          <w:p>
            <w:pPr>
              <w:pStyle w:val="45"/>
              <w:spacing w:before="16" w:line="360" w:lineRule="auto"/>
              <w:ind w:left="108"/>
              <w:jc w:val="both"/>
              <w:rPr>
                <w:sz w:val="21"/>
                <w:szCs w:val="21"/>
              </w:rPr>
            </w:pPr>
            <w:r>
              <w:rPr>
                <w:sz w:val="21"/>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99" w:type="dxa"/>
            <w:shd w:val="clear" w:color="auto" w:fill="auto"/>
            <w:vAlign w:val="center"/>
          </w:tcPr>
          <w:p>
            <w:pPr>
              <w:pStyle w:val="45"/>
              <w:spacing w:before="19" w:line="360" w:lineRule="auto"/>
              <w:ind w:right="249"/>
              <w:jc w:val="center"/>
              <w:rPr>
                <w:sz w:val="21"/>
                <w:szCs w:val="21"/>
                <w:lang w:val="en-US"/>
              </w:rPr>
            </w:pPr>
            <w:r>
              <w:rPr>
                <w:rFonts w:hint="eastAsia"/>
                <w:sz w:val="21"/>
                <w:szCs w:val="21"/>
                <w:lang w:val="en-US"/>
              </w:rPr>
              <w:t>25</w:t>
            </w:r>
          </w:p>
        </w:tc>
        <w:tc>
          <w:tcPr>
            <w:tcW w:w="1935" w:type="dxa"/>
            <w:shd w:val="clear" w:color="auto" w:fill="auto"/>
            <w:vAlign w:val="center"/>
          </w:tcPr>
          <w:p>
            <w:pPr>
              <w:pStyle w:val="45"/>
              <w:spacing w:before="19" w:line="360" w:lineRule="auto"/>
              <w:ind w:left="107"/>
              <w:jc w:val="both"/>
              <w:rPr>
                <w:sz w:val="21"/>
                <w:szCs w:val="21"/>
                <w:lang w:eastAsia="en-US"/>
              </w:rPr>
            </w:pPr>
            <w:r>
              <w:rPr>
                <w:sz w:val="21"/>
                <w:szCs w:val="21"/>
                <w:lang w:eastAsia="en-US"/>
              </w:rPr>
              <w:t>评审方法</w:t>
            </w:r>
          </w:p>
        </w:tc>
        <w:tc>
          <w:tcPr>
            <w:tcW w:w="6711" w:type="dxa"/>
            <w:shd w:val="clear" w:color="auto" w:fill="auto"/>
            <w:vAlign w:val="center"/>
          </w:tcPr>
          <w:p>
            <w:pPr>
              <w:pStyle w:val="45"/>
              <w:spacing w:before="19" w:line="360" w:lineRule="auto"/>
              <w:ind w:left="108"/>
              <w:jc w:val="both"/>
              <w:rPr>
                <w:sz w:val="21"/>
                <w:szCs w:val="21"/>
                <w:lang w:eastAsia="en-US"/>
              </w:rPr>
            </w:pPr>
            <w:r>
              <w:rPr>
                <w:sz w:val="21"/>
                <w:szCs w:val="21"/>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9" w:type="dxa"/>
            <w:shd w:val="clear" w:color="auto" w:fill="auto"/>
            <w:vAlign w:val="center"/>
          </w:tcPr>
          <w:p>
            <w:pPr>
              <w:pStyle w:val="45"/>
              <w:spacing w:before="146" w:line="360" w:lineRule="auto"/>
              <w:ind w:right="249"/>
              <w:jc w:val="center"/>
              <w:rPr>
                <w:sz w:val="21"/>
                <w:szCs w:val="21"/>
                <w:lang w:val="en-US"/>
              </w:rPr>
            </w:pPr>
            <w:r>
              <w:rPr>
                <w:rFonts w:hint="eastAsia"/>
                <w:sz w:val="21"/>
                <w:szCs w:val="21"/>
                <w:lang w:val="en-US"/>
              </w:rPr>
              <w:t>26</w:t>
            </w:r>
          </w:p>
        </w:tc>
        <w:tc>
          <w:tcPr>
            <w:tcW w:w="1935" w:type="dxa"/>
            <w:shd w:val="clear" w:color="auto" w:fill="auto"/>
            <w:vAlign w:val="center"/>
          </w:tcPr>
          <w:p>
            <w:pPr>
              <w:pStyle w:val="45"/>
              <w:spacing w:before="146" w:line="360" w:lineRule="auto"/>
              <w:jc w:val="both"/>
              <w:rPr>
                <w:sz w:val="21"/>
                <w:szCs w:val="21"/>
                <w:lang w:eastAsia="en-US"/>
              </w:rPr>
            </w:pPr>
            <w:r>
              <w:rPr>
                <w:sz w:val="21"/>
                <w:szCs w:val="21"/>
                <w:lang w:eastAsia="en-US"/>
              </w:rPr>
              <w:t>最后报价扣除</w:t>
            </w:r>
          </w:p>
        </w:tc>
        <w:tc>
          <w:tcPr>
            <w:tcW w:w="6711" w:type="dxa"/>
            <w:shd w:val="clear" w:color="auto" w:fill="auto"/>
            <w:vAlign w:val="center"/>
          </w:tcPr>
          <w:p>
            <w:pPr>
              <w:pStyle w:val="45"/>
              <w:numPr>
                <w:ilvl w:val="0"/>
                <w:numId w:val="2"/>
              </w:numPr>
              <w:tabs>
                <w:tab w:val="left" w:pos="710"/>
              </w:tabs>
              <w:spacing w:line="360" w:lineRule="auto"/>
              <w:jc w:val="both"/>
              <w:rPr>
                <w:sz w:val="21"/>
                <w:szCs w:val="21"/>
                <w:lang w:eastAsia="en-US"/>
              </w:rPr>
            </w:pPr>
            <w:r>
              <w:rPr>
                <w:sz w:val="21"/>
                <w:szCs w:val="21"/>
                <w:lang w:eastAsia="en-US"/>
              </w:rPr>
              <w:t>中小企业价格扣除：</w:t>
            </w:r>
          </w:p>
          <w:p>
            <w:pPr>
              <w:pStyle w:val="45"/>
              <w:spacing w:before="158" w:line="360" w:lineRule="auto"/>
              <w:ind w:left="588"/>
              <w:jc w:val="both"/>
              <w:rPr>
                <w:sz w:val="21"/>
                <w:szCs w:val="21"/>
                <w:lang w:eastAsia="en-US"/>
              </w:rPr>
            </w:pPr>
            <w:r>
              <w:rPr>
                <w:sz w:val="21"/>
                <w:szCs w:val="21"/>
                <w:lang w:eastAsia="en-US"/>
              </w:rPr>
              <w:t>①中型企业：</w:t>
            </w:r>
            <w:r>
              <w:rPr>
                <w:sz w:val="21"/>
                <w:szCs w:val="21"/>
                <w:u w:val="single"/>
                <w:lang w:eastAsia="en-US"/>
              </w:rPr>
              <w:t xml:space="preserve"> 3 </w:t>
            </w:r>
            <w:r>
              <w:rPr>
                <w:sz w:val="21"/>
                <w:szCs w:val="21"/>
                <w:lang w:eastAsia="en-US"/>
              </w:rPr>
              <w:t>%；</w:t>
            </w:r>
          </w:p>
          <w:p>
            <w:pPr>
              <w:pStyle w:val="45"/>
              <w:spacing w:before="161" w:line="360" w:lineRule="auto"/>
              <w:ind w:left="588"/>
              <w:jc w:val="both"/>
              <w:rPr>
                <w:sz w:val="21"/>
                <w:szCs w:val="21"/>
                <w:lang w:eastAsia="en-US"/>
              </w:rPr>
            </w:pPr>
            <w:r>
              <w:rPr>
                <w:sz w:val="21"/>
                <w:szCs w:val="21"/>
                <w:lang w:eastAsia="en-US"/>
              </w:rPr>
              <w:t>②小型和微型企业：</w:t>
            </w:r>
            <w:r>
              <w:rPr>
                <w:sz w:val="21"/>
                <w:szCs w:val="21"/>
                <w:u w:val="single"/>
                <w:lang w:eastAsia="en-US"/>
              </w:rPr>
              <w:t xml:space="preserve"> 6 </w:t>
            </w:r>
            <w:r>
              <w:rPr>
                <w:sz w:val="21"/>
                <w:szCs w:val="21"/>
                <w:lang w:eastAsia="en-US"/>
              </w:rPr>
              <w:t>%。</w:t>
            </w:r>
          </w:p>
          <w:p>
            <w:pPr>
              <w:pStyle w:val="45"/>
              <w:numPr>
                <w:ilvl w:val="0"/>
                <w:numId w:val="2"/>
              </w:numPr>
              <w:tabs>
                <w:tab w:val="left" w:pos="710"/>
              </w:tabs>
              <w:spacing w:before="158" w:line="360" w:lineRule="auto"/>
              <w:jc w:val="both"/>
              <w:rPr>
                <w:sz w:val="21"/>
                <w:szCs w:val="21"/>
              </w:rPr>
            </w:pPr>
            <w:r>
              <w:rPr>
                <w:sz w:val="21"/>
                <w:szCs w:val="21"/>
              </w:rPr>
              <w:t>监狱企业价格扣除：</w:t>
            </w:r>
            <w:r>
              <w:rPr>
                <w:sz w:val="21"/>
                <w:szCs w:val="21"/>
                <w:u w:val="single"/>
              </w:rPr>
              <w:t>同小型和微型企业</w:t>
            </w:r>
            <w:r>
              <w:rPr>
                <w:sz w:val="21"/>
                <w:szCs w:val="21"/>
              </w:rPr>
              <w:t>。</w:t>
            </w:r>
          </w:p>
          <w:p>
            <w:pPr>
              <w:pStyle w:val="45"/>
              <w:numPr>
                <w:ilvl w:val="0"/>
                <w:numId w:val="2"/>
              </w:numPr>
              <w:tabs>
                <w:tab w:val="left" w:pos="723"/>
              </w:tabs>
              <w:spacing w:line="360" w:lineRule="auto"/>
              <w:ind w:right="96"/>
              <w:jc w:val="both"/>
              <w:rPr>
                <w:sz w:val="21"/>
                <w:szCs w:val="21"/>
              </w:rPr>
            </w:pPr>
            <w:r>
              <w:rPr>
                <w:spacing w:val="2"/>
                <w:sz w:val="21"/>
                <w:szCs w:val="21"/>
              </w:rPr>
              <w:t>残疾人福利性单位价格扣除：</w:t>
            </w:r>
            <w:r>
              <w:rPr>
                <w:spacing w:val="1"/>
                <w:sz w:val="21"/>
                <w:szCs w:val="21"/>
                <w:u w:val="single"/>
              </w:rPr>
              <w:t>同小型和微</w:t>
            </w:r>
            <w:r>
              <w:rPr>
                <w:sz w:val="21"/>
                <w:szCs w:val="21"/>
                <w:u w:val="single"/>
              </w:rPr>
              <w:t>型企业</w:t>
            </w:r>
            <w:r>
              <w:rPr>
                <w:sz w:val="21"/>
                <w:szCs w:val="21"/>
              </w:rPr>
              <w:t>。</w:t>
            </w:r>
          </w:p>
          <w:p>
            <w:pPr>
              <w:pStyle w:val="45"/>
              <w:numPr>
                <w:ilvl w:val="0"/>
                <w:numId w:val="2"/>
              </w:numPr>
              <w:tabs>
                <w:tab w:val="left" w:pos="710"/>
              </w:tabs>
              <w:spacing w:before="158" w:line="360" w:lineRule="auto"/>
              <w:jc w:val="both"/>
              <w:rPr>
                <w:sz w:val="21"/>
                <w:szCs w:val="21"/>
              </w:rPr>
            </w:pPr>
            <w:r>
              <w:rPr>
                <w:sz w:val="21"/>
                <w:szCs w:val="21"/>
              </w:rPr>
              <w:t>符合条件的联合体价格扣除：</w:t>
            </w:r>
            <w:r>
              <w:rPr>
                <w:sz w:val="21"/>
                <w:szCs w:val="21"/>
                <w:u w:val="single"/>
              </w:rPr>
              <w:t xml:space="preserve"> 2</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9" w:type="dxa"/>
            <w:vMerge w:val="restart"/>
            <w:shd w:val="clear" w:color="auto" w:fill="auto"/>
            <w:vAlign w:val="center"/>
          </w:tcPr>
          <w:p>
            <w:pPr>
              <w:pStyle w:val="45"/>
              <w:spacing w:before="213" w:line="360" w:lineRule="auto"/>
              <w:jc w:val="center"/>
              <w:rPr>
                <w:sz w:val="21"/>
                <w:szCs w:val="21"/>
                <w:lang w:val="en-US"/>
              </w:rPr>
            </w:pPr>
            <w:r>
              <w:rPr>
                <w:rFonts w:hint="eastAsia"/>
                <w:sz w:val="21"/>
                <w:szCs w:val="21"/>
                <w:lang w:val="en-US"/>
              </w:rPr>
              <w:t>27</w:t>
            </w:r>
          </w:p>
        </w:tc>
        <w:tc>
          <w:tcPr>
            <w:tcW w:w="1935" w:type="dxa"/>
            <w:vMerge w:val="restart"/>
            <w:shd w:val="clear" w:color="auto" w:fill="auto"/>
            <w:vAlign w:val="center"/>
          </w:tcPr>
          <w:p>
            <w:pPr>
              <w:pStyle w:val="45"/>
              <w:spacing w:before="21" w:line="360" w:lineRule="auto"/>
              <w:ind w:left="107" w:right="74"/>
              <w:jc w:val="both"/>
              <w:rPr>
                <w:sz w:val="21"/>
                <w:szCs w:val="21"/>
              </w:rPr>
            </w:pPr>
            <w:r>
              <w:rPr>
                <w:sz w:val="21"/>
                <w:szCs w:val="21"/>
              </w:rPr>
              <w:t>确定成交候选供应商和成交供应商</w:t>
            </w:r>
          </w:p>
        </w:tc>
        <w:tc>
          <w:tcPr>
            <w:tcW w:w="6711" w:type="dxa"/>
            <w:shd w:val="clear" w:color="auto" w:fill="auto"/>
            <w:vAlign w:val="center"/>
          </w:tcPr>
          <w:p>
            <w:pPr>
              <w:pStyle w:val="45"/>
              <w:tabs>
                <w:tab w:val="left" w:pos="5415"/>
              </w:tabs>
              <w:spacing w:before="16" w:line="360" w:lineRule="auto"/>
              <w:ind w:left="108"/>
              <w:jc w:val="both"/>
              <w:rPr>
                <w:sz w:val="21"/>
                <w:szCs w:val="21"/>
              </w:rPr>
            </w:pPr>
            <w:r>
              <w:rPr>
                <w:sz w:val="21"/>
                <w:szCs w:val="21"/>
              </w:rPr>
              <w:t>竞争性磋商小组推荐成交候选供应商的数量：</w:t>
            </w:r>
            <w:r>
              <w:rPr>
                <w:rFonts w:hint="eastAsia"/>
                <w:sz w:val="21"/>
                <w:szCs w:val="21"/>
                <w:u w:val="single"/>
              </w:rPr>
              <w:t>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vMerge w:val="continue"/>
            <w:tcBorders>
              <w:top w:val="nil"/>
            </w:tcBorders>
            <w:shd w:val="clear" w:color="auto" w:fill="auto"/>
            <w:vAlign w:val="center"/>
          </w:tcPr>
          <w:p>
            <w:pPr>
              <w:autoSpaceDE w:val="0"/>
              <w:autoSpaceDN w:val="0"/>
              <w:spacing w:line="360" w:lineRule="auto"/>
              <w:jc w:val="center"/>
              <w:rPr>
                <w:rFonts w:ascii="宋体" w:hAnsi="宋体"/>
                <w:kern w:val="0"/>
              </w:rPr>
            </w:pPr>
          </w:p>
        </w:tc>
        <w:tc>
          <w:tcPr>
            <w:tcW w:w="1935" w:type="dxa"/>
            <w:vMerge w:val="continue"/>
            <w:tcBorders>
              <w:top w:val="nil"/>
            </w:tcBorders>
            <w:shd w:val="clear" w:color="auto" w:fill="auto"/>
            <w:vAlign w:val="center"/>
          </w:tcPr>
          <w:p>
            <w:pPr>
              <w:autoSpaceDE w:val="0"/>
              <w:autoSpaceDN w:val="0"/>
              <w:spacing w:line="360" w:lineRule="auto"/>
              <w:rPr>
                <w:rFonts w:ascii="宋体" w:hAnsi="宋体"/>
                <w:kern w:val="0"/>
              </w:rPr>
            </w:pPr>
          </w:p>
        </w:tc>
        <w:tc>
          <w:tcPr>
            <w:tcW w:w="6711" w:type="dxa"/>
            <w:shd w:val="clear" w:color="auto" w:fill="auto"/>
            <w:vAlign w:val="center"/>
          </w:tcPr>
          <w:p>
            <w:pPr>
              <w:pStyle w:val="45"/>
              <w:spacing w:line="360" w:lineRule="auto"/>
              <w:ind w:left="108"/>
              <w:jc w:val="both"/>
              <w:rPr>
                <w:sz w:val="21"/>
                <w:szCs w:val="21"/>
              </w:rPr>
            </w:pPr>
            <w:r>
              <w:rPr>
                <w:sz w:val="21"/>
                <w:szCs w:val="21"/>
              </w:rPr>
              <w:t>确定成交供应商：</w:t>
            </w:r>
          </w:p>
          <w:p>
            <w:pPr>
              <w:pStyle w:val="45"/>
              <w:tabs>
                <w:tab w:val="left" w:pos="3588"/>
              </w:tabs>
              <w:spacing w:before="160" w:line="360" w:lineRule="auto"/>
              <w:ind w:left="108"/>
              <w:jc w:val="both"/>
              <w:rPr>
                <w:sz w:val="21"/>
                <w:szCs w:val="21"/>
              </w:rPr>
            </w:pPr>
            <w:r>
              <w:rPr>
                <w:sz w:val="21"/>
                <w:szCs w:val="21"/>
              </w:rPr>
              <w:t>□采购人委托竞争性磋商小组确定</w:t>
            </w:r>
            <w:r>
              <w:rPr>
                <w:sz w:val="21"/>
                <w:szCs w:val="21"/>
              </w:rPr>
              <w:tab/>
            </w:r>
            <w:r>
              <w:rPr>
                <w:rFonts w:hint="eastAsia" w:asciiTheme="minorEastAsia" w:hAnsiTheme="minorEastAsia"/>
                <w:szCs w:val="21"/>
              </w:rPr>
              <w:t>■</w:t>
            </w:r>
            <w:r>
              <w:rPr>
                <w:sz w:val="21"/>
                <w:szCs w:val="21"/>
              </w:rPr>
              <w:t>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799" w:type="dxa"/>
            <w:shd w:val="clear" w:color="auto" w:fill="auto"/>
            <w:vAlign w:val="center"/>
          </w:tcPr>
          <w:p>
            <w:pPr>
              <w:pStyle w:val="45"/>
              <w:spacing w:before="214" w:line="360" w:lineRule="auto"/>
              <w:ind w:right="249"/>
              <w:jc w:val="center"/>
              <w:rPr>
                <w:sz w:val="21"/>
                <w:szCs w:val="21"/>
                <w:lang w:val="en-US"/>
              </w:rPr>
            </w:pPr>
            <w:r>
              <w:rPr>
                <w:rFonts w:hint="eastAsia"/>
                <w:sz w:val="21"/>
                <w:szCs w:val="21"/>
                <w:lang w:val="en-US"/>
              </w:rPr>
              <w:t>28</w:t>
            </w:r>
          </w:p>
        </w:tc>
        <w:tc>
          <w:tcPr>
            <w:tcW w:w="1935" w:type="dxa"/>
            <w:shd w:val="clear" w:color="auto" w:fill="auto"/>
            <w:vAlign w:val="center"/>
          </w:tcPr>
          <w:p>
            <w:pPr>
              <w:pStyle w:val="45"/>
              <w:spacing w:line="360" w:lineRule="auto"/>
              <w:ind w:left="107" w:right="74"/>
              <w:jc w:val="both"/>
              <w:rPr>
                <w:sz w:val="21"/>
                <w:szCs w:val="21"/>
              </w:rPr>
            </w:pPr>
            <w:r>
              <w:rPr>
                <w:sz w:val="21"/>
                <w:szCs w:val="21"/>
              </w:rPr>
              <w:t>随成交公告同时公告的成交供应商的响应文件内容</w:t>
            </w:r>
          </w:p>
        </w:tc>
        <w:tc>
          <w:tcPr>
            <w:tcW w:w="6711"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）中小企业声明函；（如有）</w:t>
            </w:r>
          </w:p>
          <w:p>
            <w:pPr>
              <w:autoSpaceDE w:val="0"/>
              <w:autoSpaceDN w:val="0"/>
              <w:spacing w:line="360" w:lineRule="auto"/>
              <w:rPr>
                <w:rFonts w:ascii="宋体" w:hAnsi="宋体"/>
                <w:kern w:val="0"/>
              </w:rPr>
            </w:pPr>
            <w:r>
              <w:rPr>
                <w:rFonts w:hint="eastAsia" w:ascii="宋体" w:hAnsi="宋体"/>
                <w:kern w:val="0"/>
              </w:rPr>
              <w:t>（2）残疾人福利性单位声明函；（如有）</w:t>
            </w:r>
          </w:p>
          <w:p>
            <w:pPr>
              <w:autoSpaceDE w:val="0"/>
              <w:autoSpaceDN w:val="0"/>
              <w:spacing w:line="360" w:lineRule="auto"/>
              <w:rPr>
                <w:rFonts w:ascii="宋体" w:hAnsi="宋体"/>
                <w:kern w:val="0"/>
              </w:rPr>
            </w:pPr>
            <w:r>
              <w:rPr>
                <w:rFonts w:hint="eastAsia" w:ascii="宋体" w:hAnsi="宋体"/>
                <w:kern w:val="0"/>
              </w:rPr>
              <w:t>（3）采购文件中规定进行公示的其他内容。（如有）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99" w:type="dxa"/>
            <w:shd w:val="clear" w:color="auto" w:fill="auto"/>
            <w:vAlign w:val="center"/>
          </w:tcPr>
          <w:p>
            <w:pPr>
              <w:pStyle w:val="45"/>
              <w:spacing w:before="5" w:line="360" w:lineRule="auto"/>
              <w:jc w:val="center"/>
              <w:rPr>
                <w:sz w:val="21"/>
                <w:szCs w:val="21"/>
              </w:rPr>
            </w:pPr>
          </w:p>
          <w:p>
            <w:pPr>
              <w:pStyle w:val="45"/>
              <w:spacing w:line="360" w:lineRule="auto"/>
              <w:ind w:right="249"/>
              <w:jc w:val="center"/>
              <w:rPr>
                <w:sz w:val="21"/>
                <w:szCs w:val="21"/>
                <w:lang w:val="en-US"/>
              </w:rPr>
            </w:pPr>
            <w:r>
              <w:rPr>
                <w:rFonts w:hint="eastAsia"/>
                <w:sz w:val="21"/>
                <w:szCs w:val="21"/>
                <w:lang w:val="en-US"/>
              </w:rPr>
              <w:t>29</w:t>
            </w:r>
          </w:p>
        </w:tc>
        <w:tc>
          <w:tcPr>
            <w:tcW w:w="1935" w:type="dxa"/>
            <w:shd w:val="clear" w:color="auto" w:fill="auto"/>
            <w:vAlign w:val="center"/>
          </w:tcPr>
          <w:p>
            <w:pPr>
              <w:pStyle w:val="45"/>
              <w:spacing w:before="2" w:line="360" w:lineRule="auto"/>
              <w:ind w:left="107"/>
              <w:jc w:val="both"/>
              <w:rPr>
                <w:sz w:val="21"/>
                <w:szCs w:val="21"/>
              </w:rPr>
            </w:pPr>
            <w:r>
              <w:rPr>
                <w:sz w:val="21"/>
                <w:szCs w:val="21"/>
              </w:rPr>
              <w:t>成交通知书发出的形式</w:t>
            </w:r>
          </w:p>
        </w:tc>
        <w:tc>
          <w:tcPr>
            <w:tcW w:w="6711" w:type="dxa"/>
            <w:shd w:val="clear" w:color="auto" w:fill="auto"/>
            <w:vAlign w:val="center"/>
          </w:tcPr>
          <w:p>
            <w:pPr>
              <w:pStyle w:val="45"/>
              <w:spacing w:before="5" w:line="360" w:lineRule="auto"/>
              <w:jc w:val="both"/>
              <w:rPr>
                <w:sz w:val="21"/>
                <w:szCs w:val="21"/>
              </w:rPr>
            </w:pPr>
          </w:p>
          <w:p>
            <w:pPr>
              <w:pStyle w:val="45"/>
              <w:tabs>
                <w:tab w:val="left" w:pos="1428"/>
              </w:tabs>
              <w:spacing w:line="360" w:lineRule="auto"/>
              <w:ind w:left="108"/>
              <w:jc w:val="both"/>
              <w:rPr>
                <w:sz w:val="21"/>
                <w:szCs w:val="21"/>
                <w:lang w:eastAsia="en-US"/>
              </w:rPr>
            </w:pPr>
            <w:r>
              <w:rPr>
                <w:rFonts w:hint="eastAsia" w:asciiTheme="minorEastAsia" w:hAnsiTheme="minorEastAsia"/>
                <w:szCs w:val="21"/>
              </w:rPr>
              <w:t>■</w:t>
            </w:r>
            <w:r>
              <w:rPr>
                <w:sz w:val="21"/>
                <w:szCs w:val="21"/>
                <w:lang w:eastAsia="en-US"/>
              </w:rPr>
              <w:t>书面</w:t>
            </w:r>
            <w:r>
              <w:rPr>
                <w:sz w:val="21"/>
                <w:szCs w:val="21"/>
                <w:lang w:eastAsia="en-US"/>
              </w:rPr>
              <w:tab/>
            </w:r>
            <w:r>
              <w:rPr>
                <w:sz w:val="21"/>
                <w:szCs w:val="21"/>
                <w:lang w:eastAsia="en-US"/>
              </w:rPr>
              <w:t>□数据电文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before="2" w:line="360" w:lineRule="auto"/>
              <w:jc w:val="center"/>
              <w:rPr>
                <w:sz w:val="21"/>
                <w:szCs w:val="21"/>
                <w:lang w:eastAsia="en-US"/>
              </w:rPr>
            </w:pPr>
          </w:p>
          <w:p>
            <w:pPr>
              <w:pStyle w:val="45"/>
              <w:spacing w:line="360" w:lineRule="auto"/>
              <w:ind w:right="249"/>
              <w:jc w:val="center"/>
              <w:rPr>
                <w:sz w:val="21"/>
                <w:szCs w:val="21"/>
                <w:lang w:val="en-US"/>
              </w:rPr>
            </w:pPr>
            <w:r>
              <w:rPr>
                <w:rFonts w:hint="eastAsia"/>
                <w:sz w:val="21"/>
                <w:szCs w:val="21"/>
                <w:lang w:val="en-US"/>
              </w:rPr>
              <w:t>30</w:t>
            </w:r>
          </w:p>
        </w:tc>
        <w:tc>
          <w:tcPr>
            <w:tcW w:w="1935" w:type="dxa"/>
            <w:shd w:val="clear" w:color="auto" w:fill="auto"/>
            <w:vAlign w:val="center"/>
          </w:tcPr>
          <w:p>
            <w:pPr>
              <w:pStyle w:val="45"/>
              <w:spacing w:line="360" w:lineRule="auto"/>
              <w:ind w:left="107"/>
              <w:jc w:val="both"/>
              <w:rPr>
                <w:sz w:val="21"/>
                <w:szCs w:val="21"/>
              </w:rPr>
            </w:pPr>
            <w:r>
              <w:rPr>
                <w:sz w:val="21"/>
                <w:szCs w:val="21"/>
              </w:rPr>
              <w:t>告知竞争性磋商结果的形式</w:t>
            </w:r>
          </w:p>
        </w:tc>
        <w:tc>
          <w:tcPr>
            <w:tcW w:w="6711" w:type="dxa"/>
            <w:shd w:val="clear" w:color="auto" w:fill="auto"/>
            <w:vAlign w:val="center"/>
          </w:tcPr>
          <w:p>
            <w:pPr>
              <w:pStyle w:val="45"/>
              <w:spacing w:before="158" w:line="360" w:lineRule="auto"/>
              <w:ind w:left="108"/>
              <w:jc w:val="both"/>
              <w:rPr>
                <w:sz w:val="21"/>
                <w:szCs w:val="21"/>
              </w:rPr>
            </w:pPr>
            <w:r>
              <w:rPr>
                <w:rFonts w:hint="eastAsia"/>
                <w:sz w:val="21"/>
                <w:szCs w:val="21"/>
              </w:rPr>
              <w:t>供应商自行登录</w:t>
            </w:r>
            <w:r>
              <w:rPr>
                <w:rFonts w:hint="eastAsia"/>
                <w:u w:val="single"/>
              </w:rPr>
              <w:t>安徽养城建设发展集团有限公司</w:t>
            </w:r>
            <w:r>
              <w:rPr>
                <w:rFonts w:hint="eastAsia"/>
              </w:rPr>
              <w:t>网站</w:t>
            </w:r>
            <w:r>
              <w:fldChar w:fldCharType="begin"/>
            </w:r>
            <w:r>
              <w:instrText xml:space="preserve"> HYPERLINK "http://www.ahycjt.cn/" </w:instrText>
            </w:r>
            <w:r>
              <w:fldChar w:fldCharType="separate"/>
            </w:r>
            <w:r>
              <w:rPr>
                <w:rStyle w:val="23"/>
                <w:sz w:val="24"/>
                <w:szCs w:val="24"/>
              </w:rPr>
              <w:t>(http://www.ahycjt.cn/)</w:t>
            </w:r>
            <w:r>
              <w:rPr>
                <w:rStyle w:val="23"/>
                <w:sz w:val="24"/>
                <w:szCs w:val="24"/>
              </w:rPr>
              <w:fldChar w:fldCharType="end"/>
            </w:r>
            <w:r>
              <w:rPr>
                <w:rFonts w:hint="eastAsia"/>
              </w:rPr>
              <w:t>网站</w:t>
            </w:r>
            <w:r>
              <w:rPr>
                <w:rFonts w:hint="eastAsia"/>
                <w:sz w:val="21"/>
                <w:szCs w:val="21"/>
              </w:rPr>
              <w:t>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799" w:type="dxa"/>
            <w:shd w:val="clear" w:color="auto" w:fill="auto"/>
            <w:vAlign w:val="center"/>
          </w:tcPr>
          <w:p>
            <w:pPr>
              <w:pStyle w:val="45"/>
              <w:spacing w:before="168" w:line="360" w:lineRule="auto"/>
              <w:ind w:right="249"/>
              <w:jc w:val="center"/>
              <w:rPr>
                <w:sz w:val="21"/>
                <w:szCs w:val="21"/>
                <w:lang w:val="en-US"/>
              </w:rPr>
            </w:pPr>
            <w:r>
              <w:rPr>
                <w:rFonts w:hint="eastAsia"/>
                <w:sz w:val="21"/>
                <w:szCs w:val="21"/>
                <w:lang w:val="en-US"/>
              </w:rPr>
              <w:t>31</w:t>
            </w:r>
          </w:p>
        </w:tc>
        <w:tc>
          <w:tcPr>
            <w:tcW w:w="1935" w:type="dxa"/>
            <w:shd w:val="clear" w:color="auto" w:fill="auto"/>
            <w:vAlign w:val="center"/>
          </w:tcPr>
          <w:p>
            <w:pPr>
              <w:pStyle w:val="45"/>
              <w:spacing w:before="168" w:line="360" w:lineRule="auto"/>
              <w:jc w:val="both"/>
              <w:rPr>
                <w:sz w:val="21"/>
                <w:szCs w:val="21"/>
                <w:lang w:eastAsia="en-US"/>
              </w:rPr>
            </w:pPr>
            <w:r>
              <w:rPr>
                <w:sz w:val="21"/>
                <w:szCs w:val="21"/>
                <w:lang w:eastAsia="en-US"/>
              </w:rPr>
              <w:t>履约保证金</w:t>
            </w:r>
          </w:p>
        </w:tc>
        <w:tc>
          <w:tcPr>
            <w:tcW w:w="6711" w:type="dxa"/>
            <w:shd w:val="clear" w:color="auto" w:fill="auto"/>
            <w:vAlign w:val="center"/>
          </w:tcPr>
          <w:p>
            <w:pPr>
              <w:spacing w:line="360" w:lineRule="auto"/>
              <w:jc w:val="left"/>
            </w:pPr>
            <w:r>
              <w:rPr>
                <w:rFonts w:hint="eastAsia"/>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32</w:t>
            </w:r>
          </w:p>
        </w:tc>
        <w:tc>
          <w:tcPr>
            <w:tcW w:w="1935" w:type="dxa"/>
            <w:shd w:val="clear" w:color="auto" w:fill="auto"/>
            <w:vAlign w:val="center"/>
          </w:tcPr>
          <w:p>
            <w:pPr>
              <w:pStyle w:val="45"/>
              <w:spacing w:line="360" w:lineRule="auto"/>
              <w:jc w:val="both"/>
              <w:rPr>
                <w:sz w:val="21"/>
                <w:szCs w:val="21"/>
                <w:lang w:eastAsia="en-US"/>
              </w:rPr>
            </w:pPr>
            <w:r>
              <w:rPr>
                <w:sz w:val="21"/>
                <w:szCs w:val="21"/>
                <w:lang w:eastAsia="en-US"/>
              </w:rPr>
              <w:t>成交服务费</w:t>
            </w:r>
          </w:p>
        </w:tc>
        <w:tc>
          <w:tcPr>
            <w:tcW w:w="6711" w:type="dxa"/>
            <w:shd w:val="clear" w:color="auto" w:fill="auto"/>
            <w:vAlign w:val="center"/>
          </w:tcPr>
          <w:p>
            <w:pPr>
              <w:pStyle w:val="45"/>
              <w:spacing w:line="360" w:lineRule="auto"/>
              <w:jc w:val="both"/>
              <w:rPr>
                <w:sz w:val="21"/>
                <w:szCs w:val="21"/>
              </w:rPr>
            </w:pPr>
            <w:r>
              <w:rPr>
                <w:rFonts w:hint="eastAsia"/>
                <w:sz w:val="21"/>
                <w:szCs w:val="21"/>
              </w:rPr>
              <w:t>1.采购代理服务费：以最高响应限价为计算基数，按照原国家计委计价【2002】1980号文件计算标准收取</w:t>
            </w:r>
            <w:r>
              <w:rPr>
                <w:rFonts w:hint="eastAsia"/>
                <w:sz w:val="21"/>
                <w:szCs w:val="21"/>
                <w:lang w:val="en-US"/>
              </w:rPr>
              <w:t>3000元</w:t>
            </w:r>
            <w:r>
              <w:rPr>
                <w:rFonts w:hint="eastAsia"/>
                <w:sz w:val="21"/>
                <w:szCs w:val="21"/>
              </w:rPr>
              <w:t>。</w:t>
            </w:r>
          </w:p>
          <w:p>
            <w:pPr>
              <w:pStyle w:val="45"/>
              <w:spacing w:line="360" w:lineRule="auto"/>
              <w:jc w:val="both"/>
            </w:pPr>
            <w:r>
              <w:rPr>
                <w:rFonts w:hint="eastAsia"/>
                <w:sz w:val="21"/>
                <w:szCs w:val="21"/>
              </w:rPr>
              <w:t>以上费用不单独列出，供应商自行考虑。成交人在领取成交通知书前支付以上费用。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799" w:type="dxa"/>
            <w:vMerge w:val="restart"/>
            <w:shd w:val="clear" w:color="auto" w:fill="auto"/>
            <w:vAlign w:val="center"/>
          </w:tcPr>
          <w:p>
            <w:pPr>
              <w:pStyle w:val="45"/>
              <w:spacing w:before="149" w:line="360" w:lineRule="auto"/>
              <w:ind w:right="109"/>
              <w:jc w:val="center"/>
              <w:rPr>
                <w:sz w:val="21"/>
                <w:szCs w:val="21"/>
                <w:lang w:val="en-US"/>
              </w:rPr>
            </w:pPr>
            <w:r>
              <w:rPr>
                <w:rFonts w:hint="eastAsia"/>
                <w:sz w:val="21"/>
                <w:szCs w:val="21"/>
                <w:lang w:val="en-US"/>
              </w:rPr>
              <w:t>33</w:t>
            </w:r>
          </w:p>
        </w:tc>
        <w:tc>
          <w:tcPr>
            <w:tcW w:w="1935"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质疑函递交的接收部门、联系电话</w:t>
            </w:r>
          </w:p>
        </w:tc>
        <w:tc>
          <w:tcPr>
            <w:tcW w:w="6711" w:type="dxa"/>
            <w:shd w:val="clear" w:color="auto" w:fill="auto"/>
            <w:vAlign w:val="center"/>
          </w:tcPr>
          <w:p>
            <w:pPr>
              <w:autoSpaceDE w:val="0"/>
              <w:autoSpaceDN w:val="0"/>
              <w:spacing w:line="360" w:lineRule="auto"/>
              <w:ind w:firstLine="210" w:firstLineChars="100"/>
              <w:rPr>
                <w:rFonts w:ascii="宋体" w:hAnsi="宋体"/>
                <w:kern w:val="0"/>
              </w:rPr>
            </w:pPr>
            <w:r>
              <w:rPr>
                <w:rFonts w:hint="eastAsia" w:ascii="宋体" w:hAnsi="宋体"/>
                <w:kern w:val="0"/>
              </w:rPr>
              <w:t>接收部门：安徽科睿工程项目管理有限公司</w:t>
            </w:r>
          </w:p>
          <w:p>
            <w:pPr>
              <w:autoSpaceDE w:val="0"/>
              <w:autoSpaceDN w:val="0"/>
              <w:spacing w:line="360" w:lineRule="auto"/>
              <w:ind w:firstLine="210" w:firstLineChars="100"/>
              <w:rPr>
                <w:rFonts w:ascii="宋体" w:hAnsi="宋体"/>
                <w:kern w:val="0"/>
              </w:rPr>
            </w:pPr>
            <w:r>
              <w:rPr>
                <w:rFonts w:hint="eastAsia" w:ascii="宋体" w:hAnsi="宋体"/>
                <w:kern w:val="0"/>
              </w:rPr>
              <w:t>联系电话：18096789088</w:t>
            </w:r>
          </w:p>
          <w:p>
            <w:pPr>
              <w:autoSpaceDE w:val="0"/>
              <w:autoSpaceDN w:val="0"/>
              <w:spacing w:line="480" w:lineRule="auto"/>
              <w:ind w:firstLine="210" w:firstLineChars="100"/>
              <w:rPr>
                <w:rFonts w:ascii="宋体" w:hAnsi="宋体"/>
                <w:kern w:val="0"/>
              </w:rPr>
            </w:pPr>
            <w:r>
              <w:rPr>
                <w:rFonts w:hint="eastAsia" w:ascii="宋体" w:hAnsi="宋体"/>
                <w:kern w:val="0"/>
              </w:rPr>
              <w:t>邮箱：3125200080@qq.com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99" w:type="dxa"/>
            <w:vMerge w:val="continue"/>
            <w:shd w:val="clear" w:color="auto" w:fill="auto"/>
            <w:vAlign w:val="center"/>
          </w:tcPr>
          <w:p>
            <w:pPr>
              <w:pStyle w:val="45"/>
              <w:spacing w:line="360" w:lineRule="auto"/>
              <w:jc w:val="center"/>
              <w:rPr>
                <w:sz w:val="21"/>
                <w:szCs w:val="21"/>
                <w:lang w:val="en-US"/>
              </w:rPr>
            </w:pPr>
          </w:p>
        </w:tc>
        <w:tc>
          <w:tcPr>
            <w:tcW w:w="1935"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投诉函递交的接收部门、联系电话和通讯地址</w:t>
            </w:r>
          </w:p>
        </w:tc>
        <w:tc>
          <w:tcPr>
            <w:tcW w:w="6711" w:type="dxa"/>
            <w:shd w:val="clear" w:color="auto" w:fill="auto"/>
            <w:vAlign w:val="center"/>
          </w:tcPr>
          <w:p>
            <w:pPr>
              <w:autoSpaceDE w:val="0"/>
              <w:autoSpaceDN w:val="0"/>
              <w:spacing w:line="360" w:lineRule="auto"/>
              <w:ind w:firstLine="210" w:firstLineChars="100"/>
              <w:rPr>
                <w:rFonts w:ascii="宋体" w:hAnsi="宋体"/>
                <w:kern w:val="0"/>
              </w:rPr>
            </w:pPr>
            <w:r>
              <w:rPr>
                <w:rFonts w:hint="eastAsia" w:ascii="宋体" w:hAnsi="宋体"/>
                <w:kern w:val="0"/>
              </w:rPr>
              <w:t xml:space="preserve">接收部门：安徽养城建设发展集团有限公司 </w:t>
            </w:r>
          </w:p>
          <w:p>
            <w:pPr>
              <w:autoSpaceDE w:val="0"/>
              <w:autoSpaceDN w:val="0"/>
              <w:spacing w:line="360" w:lineRule="auto"/>
              <w:ind w:firstLine="210" w:firstLineChars="100"/>
              <w:rPr>
                <w:rFonts w:ascii="宋体" w:hAnsi="宋体"/>
                <w:kern w:val="0"/>
              </w:rPr>
            </w:pPr>
            <w:r>
              <w:rPr>
                <w:rFonts w:hint="eastAsia" w:ascii="宋体" w:hAnsi="宋体"/>
                <w:kern w:val="0"/>
              </w:rPr>
              <w:t>联系电话：</w:t>
            </w:r>
            <w:r>
              <w:rPr>
                <w:rFonts w:ascii="宋体" w:hAnsi="宋体"/>
                <w:kern w:val="0"/>
              </w:rPr>
              <w:t>13866228726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99" w:type="dxa"/>
            <w:shd w:val="clear" w:color="auto" w:fill="auto"/>
            <w:vAlign w:val="center"/>
          </w:tcPr>
          <w:p>
            <w:pPr>
              <w:pStyle w:val="45"/>
              <w:spacing w:before="19" w:line="360" w:lineRule="auto"/>
              <w:ind w:left="118" w:right="109"/>
              <w:jc w:val="center"/>
              <w:rPr>
                <w:sz w:val="21"/>
                <w:szCs w:val="21"/>
                <w:lang w:val="en-US"/>
              </w:rPr>
            </w:pPr>
            <w:r>
              <w:rPr>
                <w:rFonts w:hint="eastAsia"/>
                <w:sz w:val="21"/>
                <w:szCs w:val="21"/>
                <w:lang w:val="en-US"/>
              </w:rPr>
              <w:t>34</w:t>
            </w:r>
          </w:p>
        </w:tc>
        <w:tc>
          <w:tcPr>
            <w:tcW w:w="1935" w:type="dxa"/>
            <w:shd w:val="clear" w:color="auto" w:fill="auto"/>
            <w:vAlign w:val="center"/>
          </w:tcPr>
          <w:p>
            <w:pPr>
              <w:pStyle w:val="45"/>
              <w:spacing w:before="19" w:line="360" w:lineRule="auto"/>
              <w:ind w:left="107"/>
              <w:jc w:val="both"/>
              <w:rPr>
                <w:sz w:val="21"/>
                <w:szCs w:val="21"/>
                <w:lang w:eastAsia="en-US"/>
              </w:rPr>
            </w:pPr>
            <w:r>
              <w:rPr>
                <w:sz w:val="21"/>
                <w:szCs w:val="21"/>
                <w:lang w:eastAsia="en-US"/>
              </w:rPr>
              <w:t>其他内容</w:t>
            </w:r>
          </w:p>
        </w:tc>
        <w:tc>
          <w:tcPr>
            <w:tcW w:w="6711" w:type="dxa"/>
            <w:shd w:val="clear" w:color="auto" w:fill="auto"/>
            <w:vAlign w:val="center"/>
          </w:tcPr>
          <w:p>
            <w:pPr>
              <w:pStyle w:val="45"/>
              <w:spacing w:line="360" w:lineRule="auto"/>
              <w:jc w:val="both"/>
              <w:rPr>
                <w:sz w:val="21"/>
                <w:szCs w:val="21"/>
              </w:rPr>
            </w:pPr>
            <w:r>
              <w:rPr>
                <w:rFonts w:hint="eastAsia"/>
                <w:sz w:val="21"/>
                <w:szCs w:val="21"/>
              </w:rPr>
              <w:t xml:space="preserve"> 本次项目成交人须服从相关制度、规定及管理办法，如有违反情节严重时，采购人有权终止合同，造成的影响和损失由成交人承担。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99" w:type="dxa"/>
            <w:shd w:val="clear" w:color="auto" w:fill="auto"/>
            <w:vAlign w:val="center"/>
          </w:tcPr>
          <w:p>
            <w:pPr>
              <w:pStyle w:val="45"/>
              <w:spacing w:line="360" w:lineRule="auto"/>
              <w:ind w:right="109"/>
              <w:jc w:val="center"/>
              <w:rPr>
                <w:sz w:val="21"/>
                <w:szCs w:val="21"/>
                <w:lang w:val="en-US"/>
              </w:rPr>
            </w:pPr>
            <w:r>
              <w:rPr>
                <w:rFonts w:hint="eastAsia"/>
                <w:sz w:val="21"/>
                <w:szCs w:val="21"/>
                <w:lang w:val="en-US"/>
              </w:rPr>
              <w:t>35</w:t>
            </w:r>
          </w:p>
        </w:tc>
        <w:tc>
          <w:tcPr>
            <w:tcW w:w="1935" w:type="dxa"/>
            <w:shd w:val="clear" w:color="auto" w:fill="auto"/>
            <w:vAlign w:val="center"/>
          </w:tcPr>
          <w:p>
            <w:pPr>
              <w:pStyle w:val="45"/>
              <w:spacing w:line="360" w:lineRule="auto"/>
              <w:ind w:left="107"/>
              <w:jc w:val="both"/>
              <w:rPr>
                <w:sz w:val="21"/>
                <w:szCs w:val="21"/>
              </w:rPr>
            </w:pPr>
            <w:r>
              <w:rPr>
                <w:sz w:val="21"/>
                <w:szCs w:val="21"/>
              </w:rPr>
              <w:t>关于联合体参加</w:t>
            </w:r>
          </w:p>
          <w:p>
            <w:pPr>
              <w:pStyle w:val="45"/>
              <w:spacing w:before="160" w:line="360" w:lineRule="auto"/>
              <w:ind w:left="107"/>
              <w:jc w:val="both"/>
              <w:rPr>
                <w:sz w:val="21"/>
                <w:szCs w:val="21"/>
              </w:rPr>
            </w:pPr>
            <w:r>
              <w:rPr>
                <w:sz w:val="21"/>
                <w:szCs w:val="21"/>
              </w:rPr>
              <w:t>竞争性磋商的相关约定</w:t>
            </w:r>
            <w:r>
              <w:rPr>
                <w:rFonts w:hint="eastAsia"/>
                <w:sz w:val="21"/>
                <w:szCs w:val="21"/>
              </w:rPr>
              <w:t>（</w:t>
            </w:r>
            <w:r>
              <w:rPr>
                <w:rFonts w:hint="eastAsia"/>
                <w:sz w:val="21"/>
                <w:szCs w:val="21"/>
                <w:lang w:val="en-US"/>
              </w:rPr>
              <w:t>本项目不接受联合体参加</w:t>
            </w:r>
            <w:r>
              <w:rPr>
                <w:rFonts w:hint="eastAsia"/>
                <w:sz w:val="21"/>
                <w:szCs w:val="21"/>
              </w:rPr>
              <w:t>）</w:t>
            </w:r>
          </w:p>
        </w:tc>
        <w:tc>
          <w:tcPr>
            <w:tcW w:w="6711"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99" w:type="dxa"/>
            <w:shd w:val="clear" w:color="auto" w:fill="auto"/>
            <w:vAlign w:val="center"/>
          </w:tcPr>
          <w:p>
            <w:pPr>
              <w:pStyle w:val="45"/>
              <w:spacing w:line="360" w:lineRule="auto"/>
              <w:ind w:right="249"/>
              <w:jc w:val="center"/>
              <w:rPr>
                <w:sz w:val="21"/>
                <w:szCs w:val="21"/>
                <w:lang w:val="en-US"/>
              </w:rPr>
            </w:pPr>
            <w:r>
              <w:rPr>
                <w:rFonts w:hint="eastAsia"/>
                <w:sz w:val="21"/>
                <w:szCs w:val="21"/>
                <w:lang w:val="en-US"/>
              </w:rPr>
              <w:t>37</w:t>
            </w:r>
          </w:p>
        </w:tc>
        <w:tc>
          <w:tcPr>
            <w:tcW w:w="1935" w:type="dxa"/>
            <w:shd w:val="clear" w:color="auto" w:fill="auto"/>
            <w:vAlign w:val="center"/>
          </w:tcPr>
          <w:p>
            <w:pPr>
              <w:pStyle w:val="45"/>
              <w:spacing w:line="360" w:lineRule="auto"/>
              <w:ind w:left="107"/>
              <w:jc w:val="both"/>
              <w:rPr>
                <w:sz w:val="21"/>
                <w:szCs w:val="21"/>
              </w:rPr>
            </w:pPr>
            <w:r>
              <w:rPr>
                <w:spacing w:val="21"/>
                <w:sz w:val="21"/>
                <w:szCs w:val="21"/>
              </w:rPr>
              <w:t>本项目提供除电子版竞争性磋商文件以</w:t>
            </w:r>
            <w:r>
              <w:rPr>
                <w:sz w:val="21"/>
                <w:szCs w:val="21"/>
              </w:rPr>
              <w:t>外的其他资料</w:t>
            </w:r>
          </w:p>
        </w:tc>
        <w:tc>
          <w:tcPr>
            <w:tcW w:w="6711" w:type="dxa"/>
            <w:shd w:val="clear" w:color="auto" w:fill="auto"/>
            <w:vAlign w:val="center"/>
          </w:tcPr>
          <w:p>
            <w:pPr>
              <w:pStyle w:val="45"/>
              <w:spacing w:before="160" w:line="360" w:lineRule="auto"/>
              <w:ind w:left="108"/>
              <w:jc w:val="both"/>
              <w:rPr>
                <w:sz w:val="21"/>
                <w:szCs w:val="21"/>
              </w:rPr>
            </w:pPr>
            <w:r>
              <w:rPr>
                <w:rFonts w:hint="eastAsia"/>
                <w:u w:val="single"/>
              </w:rPr>
              <w:t>安徽养城建设发展集团有限公司</w:t>
            </w:r>
            <w:r>
              <w:rPr>
                <w:rFonts w:hint="eastAsia"/>
              </w:rPr>
              <w:t>网站</w:t>
            </w:r>
            <w:r>
              <w:fldChar w:fldCharType="begin"/>
            </w:r>
            <w:r>
              <w:instrText xml:space="preserve"> HYPERLINK "http://www.ahycjt.cn/" </w:instrText>
            </w:r>
            <w:r>
              <w:fldChar w:fldCharType="separate"/>
            </w:r>
            <w:r>
              <w:rPr>
                <w:rStyle w:val="23"/>
                <w:sz w:val="24"/>
                <w:szCs w:val="24"/>
              </w:rPr>
              <w:t>(http://www.ahycjt.cn/)</w:t>
            </w:r>
            <w:r>
              <w:rPr>
                <w:rStyle w:val="23"/>
                <w:sz w:val="24"/>
                <w:szCs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2" w:hRule="atLeast"/>
        </w:trPr>
        <w:tc>
          <w:tcPr>
            <w:tcW w:w="799" w:type="dxa"/>
            <w:shd w:val="clear" w:color="auto" w:fill="auto"/>
            <w:vAlign w:val="center"/>
          </w:tcPr>
          <w:p>
            <w:pPr>
              <w:pStyle w:val="45"/>
              <w:spacing w:line="360" w:lineRule="auto"/>
              <w:ind w:right="249"/>
              <w:jc w:val="center"/>
              <w:rPr>
                <w:sz w:val="21"/>
                <w:szCs w:val="21"/>
                <w:lang w:val="en-US"/>
              </w:rPr>
            </w:pPr>
            <w:r>
              <w:rPr>
                <w:rFonts w:hint="eastAsia"/>
                <w:sz w:val="21"/>
                <w:szCs w:val="21"/>
                <w:lang w:val="en-US"/>
              </w:rPr>
              <w:t>38</w:t>
            </w:r>
          </w:p>
        </w:tc>
        <w:tc>
          <w:tcPr>
            <w:tcW w:w="1935" w:type="dxa"/>
            <w:shd w:val="clear" w:color="auto" w:fill="auto"/>
            <w:vAlign w:val="center"/>
          </w:tcPr>
          <w:p>
            <w:pPr>
              <w:pStyle w:val="45"/>
              <w:spacing w:line="360" w:lineRule="auto"/>
              <w:jc w:val="both"/>
              <w:rPr>
                <w:sz w:val="21"/>
                <w:szCs w:val="21"/>
                <w:lang w:eastAsia="en-US"/>
              </w:rPr>
            </w:pPr>
            <w:r>
              <w:rPr>
                <w:sz w:val="21"/>
                <w:szCs w:val="21"/>
                <w:lang w:eastAsia="en-US"/>
              </w:rPr>
              <w:t>解释权</w:t>
            </w:r>
          </w:p>
        </w:tc>
        <w:tc>
          <w:tcPr>
            <w:tcW w:w="6711" w:type="dxa"/>
            <w:shd w:val="clear" w:color="auto" w:fill="auto"/>
            <w:vAlign w:val="center"/>
          </w:tcPr>
          <w:p>
            <w:pPr>
              <w:pStyle w:val="45"/>
              <w:numPr>
                <w:ilvl w:val="0"/>
                <w:numId w:val="3"/>
              </w:numPr>
              <w:tabs>
                <w:tab w:val="left" w:pos="710"/>
              </w:tabs>
              <w:spacing w:line="360" w:lineRule="auto"/>
              <w:ind w:right="-29" w:firstLine="0"/>
              <w:jc w:val="both"/>
              <w:rPr>
                <w:sz w:val="21"/>
                <w:szCs w:val="21"/>
              </w:rPr>
            </w:pPr>
            <w:r>
              <w:rPr>
                <w:sz w:val="21"/>
                <w:szCs w:val="21"/>
              </w:rPr>
              <w:t>构成本竞争性磋商文件的各个组成文件应互为解释</w:t>
            </w:r>
            <w:r>
              <w:rPr>
                <w:spacing w:val="-3"/>
                <w:sz w:val="21"/>
                <w:szCs w:val="21"/>
              </w:rPr>
              <w:t>，互为说明；</w:t>
            </w:r>
          </w:p>
          <w:p>
            <w:pPr>
              <w:pStyle w:val="45"/>
              <w:numPr>
                <w:ilvl w:val="0"/>
                <w:numId w:val="3"/>
              </w:numPr>
              <w:tabs>
                <w:tab w:val="left" w:pos="723"/>
              </w:tabs>
              <w:spacing w:before="4" w:line="360" w:lineRule="auto"/>
              <w:ind w:right="102" w:firstLine="0"/>
              <w:jc w:val="both"/>
              <w:rPr>
                <w:sz w:val="21"/>
                <w:szCs w:val="21"/>
              </w:rPr>
            </w:pPr>
            <w:r>
              <w:rPr>
                <w:sz w:val="21"/>
                <w:szCs w:val="21"/>
              </w:rPr>
              <w:t>同一组成文件中就同一事项的规定或约定不一致的，以编排顺序在后者为准；</w:t>
            </w:r>
          </w:p>
          <w:p>
            <w:pPr>
              <w:pStyle w:val="45"/>
              <w:numPr>
                <w:ilvl w:val="0"/>
                <w:numId w:val="3"/>
              </w:numPr>
              <w:tabs>
                <w:tab w:val="left" w:pos="723"/>
              </w:tabs>
              <w:spacing w:before="6" w:line="360" w:lineRule="auto"/>
              <w:ind w:left="722" w:hanging="615"/>
              <w:jc w:val="both"/>
              <w:rPr>
                <w:sz w:val="21"/>
                <w:szCs w:val="21"/>
              </w:rPr>
            </w:pPr>
            <w:r>
              <w:rPr>
                <w:sz w:val="21"/>
                <w:szCs w:val="21"/>
              </w:rPr>
              <w:t>如有不明确或不一致，构成合同文件组成内容的，以</w:t>
            </w:r>
          </w:p>
          <w:p>
            <w:pPr>
              <w:pStyle w:val="45"/>
              <w:tabs>
                <w:tab w:val="left" w:pos="723"/>
              </w:tabs>
              <w:spacing w:before="6" w:line="360" w:lineRule="auto"/>
              <w:ind w:left="107"/>
              <w:jc w:val="both"/>
              <w:rPr>
                <w:sz w:val="21"/>
                <w:szCs w:val="21"/>
              </w:rPr>
            </w:pPr>
            <w:r>
              <w:rPr>
                <w:sz w:val="21"/>
                <w:szCs w:val="21"/>
              </w:rPr>
              <w:t>合同文件约定内容为准，且以专用合同条款约定的合同文件优先顺序解释；</w:t>
            </w:r>
          </w:p>
          <w:p>
            <w:pPr>
              <w:pStyle w:val="45"/>
              <w:numPr>
                <w:ilvl w:val="0"/>
                <w:numId w:val="4"/>
              </w:numPr>
              <w:tabs>
                <w:tab w:val="left" w:pos="723"/>
              </w:tabs>
              <w:spacing w:before="160" w:line="360" w:lineRule="auto"/>
              <w:ind w:right="90" w:firstLine="0"/>
              <w:jc w:val="both"/>
              <w:rPr>
                <w:sz w:val="21"/>
                <w:szCs w:val="21"/>
              </w:rPr>
            </w:pPr>
            <w:r>
              <w:rPr>
                <w:spacing w:val="1"/>
                <w:sz w:val="21"/>
                <w:szCs w:val="21"/>
              </w:rPr>
              <w:t>除竞争性磋商文件中有特别规定外，仅适用于竞争性磋商</w:t>
            </w:r>
            <w:r>
              <w:rPr>
                <w:spacing w:val="-4"/>
                <w:sz w:val="21"/>
                <w:szCs w:val="21"/>
              </w:rPr>
              <w:t>及响应文件提交阶段的规定，按竞争性磋商公告、供应商</w:t>
            </w:r>
            <w:r>
              <w:rPr>
                <w:spacing w:val="-5"/>
                <w:sz w:val="21"/>
                <w:szCs w:val="21"/>
              </w:rPr>
              <w:t>须知、评审方法和标准、响应文件格式的先后顺序解释；</w:t>
            </w:r>
          </w:p>
          <w:p>
            <w:pPr>
              <w:pStyle w:val="45"/>
              <w:numPr>
                <w:ilvl w:val="0"/>
                <w:numId w:val="4"/>
              </w:numPr>
              <w:tabs>
                <w:tab w:val="left" w:pos="723"/>
              </w:tabs>
              <w:spacing w:line="360" w:lineRule="auto"/>
              <w:ind w:left="722"/>
              <w:jc w:val="both"/>
              <w:rPr>
                <w:sz w:val="21"/>
                <w:szCs w:val="21"/>
              </w:rPr>
            </w:pPr>
            <w:r>
              <w:rPr>
                <w:spacing w:val="1"/>
                <w:sz w:val="21"/>
                <w:szCs w:val="21"/>
              </w:rPr>
              <w:t>按本款前述规定仍不能形成结论的，由采购</w:t>
            </w:r>
            <w:r>
              <w:rPr>
                <w:sz w:val="21"/>
                <w:szCs w:val="21"/>
              </w:rPr>
              <w:t>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799" w:type="dxa"/>
            <w:shd w:val="clear" w:color="auto" w:fill="auto"/>
            <w:vAlign w:val="center"/>
          </w:tcPr>
          <w:p>
            <w:pPr>
              <w:pStyle w:val="45"/>
              <w:spacing w:line="360" w:lineRule="auto"/>
              <w:ind w:right="249"/>
              <w:jc w:val="center"/>
              <w:rPr>
                <w:sz w:val="21"/>
                <w:szCs w:val="21"/>
                <w:lang w:val="en-US"/>
              </w:rPr>
            </w:pPr>
            <w:r>
              <w:rPr>
                <w:rFonts w:hint="eastAsia"/>
                <w:sz w:val="21"/>
                <w:szCs w:val="21"/>
                <w:lang w:val="en-US"/>
              </w:rPr>
              <w:t>39</w:t>
            </w:r>
          </w:p>
        </w:tc>
        <w:tc>
          <w:tcPr>
            <w:tcW w:w="1935" w:type="dxa"/>
            <w:shd w:val="clear" w:color="auto" w:fill="auto"/>
            <w:vAlign w:val="center"/>
          </w:tcPr>
          <w:p>
            <w:pPr>
              <w:pStyle w:val="45"/>
              <w:spacing w:line="360" w:lineRule="auto"/>
              <w:jc w:val="both"/>
              <w:rPr>
                <w:sz w:val="21"/>
                <w:szCs w:val="21"/>
                <w:lang w:val="en-US"/>
              </w:rPr>
            </w:pPr>
            <w:r>
              <w:rPr>
                <w:rFonts w:hint="eastAsia"/>
                <w:sz w:val="21"/>
                <w:szCs w:val="21"/>
                <w:lang w:val="en-US"/>
              </w:rPr>
              <w:t>考核</w:t>
            </w:r>
          </w:p>
        </w:tc>
        <w:tc>
          <w:tcPr>
            <w:tcW w:w="6711" w:type="dxa"/>
            <w:shd w:val="clear" w:color="auto" w:fill="auto"/>
            <w:vAlign w:val="center"/>
          </w:tcPr>
          <w:p>
            <w:pPr>
              <w:widowControl/>
              <w:jc w:val="left"/>
            </w:pPr>
            <w:r>
              <w:rPr>
                <w:rFonts w:hint="eastAsia" w:ascii="宋体" w:hAnsi="宋体" w:cs="宋体"/>
                <w:kern w:val="0"/>
                <w:lang w:bidi="ar"/>
              </w:rPr>
              <w:t xml:space="preserve">□不纳入 </w:t>
            </w:r>
          </w:p>
          <w:p>
            <w:pPr>
              <w:widowControl/>
              <w:spacing w:line="360" w:lineRule="auto"/>
              <w:jc w:val="left"/>
            </w:pPr>
            <w:r>
              <w:rPr>
                <w:rFonts w:hint="eastAsia" w:ascii="宋体" w:hAnsi="宋体" w:cs="宋体"/>
                <w:kern w:val="0"/>
                <w:lang w:bidi="ar"/>
              </w:rPr>
              <w:t>■纳入，本项目的关键岗位人员在施工期间须按照_合同相关条款_管理考核，如考核不合格，将严格按照_合同相关条款 规定进行处理。</w:t>
            </w:r>
          </w:p>
          <w:p>
            <w:pPr>
              <w:pStyle w:val="45"/>
              <w:tabs>
                <w:tab w:val="left" w:pos="723"/>
              </w:tabs>
              <w:spacing w:line="360" w:lineRule="auto"/>
              <w:jc w:val="both"/>
              <w:rPr>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99" w:type="dxa"/>
            <w:shd w:val="clear" w:color="auto" w:fill="auto"/>
            <w:vAlign w:val="center"/>
          </w:tcPr>
          <w:p>
            <w:pPr>
              <w:pStyle w:val="45"/>
              <w:spacing w:before="19" w:line="360" w:lineRule="auto"/>
              <w:jc w:val="center"/>
              <w:rPr>
                <w:sz w:val="21"/>
                <w:szCs w:val="21"/>
                <w:lang w:val="en-US"/>
              </w:rPr>
            </w:pPr>
            <w:r>
              <w:rPr>
                <w:rFonts w:hint="eastAsia"/>
                <w:sz w:val="21"/>
                <w:szCs w:val="21"/>
                <w:lang w:val="en-US"/>
              </w:rPr>
              <w:t>40</w:t>
            </w:r>
          </w:p>
        </w:tc>
        <w:tc>
          <w:tcPr>
            <w:tcW w:w="1935" w:type="dxa"/>
            <w:shd w:val="clear" w:color="auto" w:fill="auto"/>
            <w:vAlign w:val="center"/>
          </w:tcPr>
          <w:p>
            <w:pPr>
              <w:widowControl/>
              <w:jc w:val="left"/>
              <w:rPr>
                <w:rFonts w:ascii="宋体" w:hAnsi="宋体" w:cs="宋体"/>
                <w:color w:val="000000" w:themeColor="text1"/>
                <w:kern w:val="0"/>
                <w:lang w:eastAsia="en-US" w:bidi="ar"/>
                <w14:textFill>
                  <w14:solidFill>
                    <w14:schemeClr w14:val="tx1"/>
                  </w14:solidFill>
                </w14:textFill>
              </w:rPr>
            </w:pPr>
            <w:r>
              <w:rPr>
                <w:rFonts w:hint="eastAsia" w:ascii="宋体" w:hAnsi="宋体" w:cs="宋体"/>
                <w:color w:val="000000" w:themeColor="text1"/>
                <w:kern w:val="0"/>
                <w:lang w:eastAsia="en-US" w:bidi="ar"/>
                <w14:textFill>
                  <w14:solidFill>
                    <w14:schemeClr w14:val="tx1"/>
                  </w14:solidFill>
                </w14:textFill>
              </w:rPr>
              <w:t>其他补充说明</w:t>
            </w:r>
          </w:p>
        </w:tc>
        <w:tc>
          <w:tcPr>
            <w:tcW w:w="6711" w:type="dxa"/>
            <w:shd w:val="clear" w:color="auto" w:fill="auto"/>
            <w:vAlign w:val="center"/>
          </w:tcPr>
          <w:p>
            <w:pPr>
              <w:widowControl/>
              <w:spacing w:line="360" w:lineRule="auto"/>
              <w:jc w:val="left"/>
              <w:rPr>
                <w:rFonts w:ascii="宋体" w:hAnsi="宋体" w:cs="宋体"/>
                <w:kern w:val="0"/>
                <w:lang w:bidi="ar"/>
              </w:rPr>
            </w:pPr>
            <w:r>
              <w:rPr>
                <w:rFonts w:hint="eastAsia" w:ascii="宋体" w:hAnsi="宋体" w:cs="宋体"/>
                <w:kern w:val="0"/>
                <w:lang w:bidi="ar"/>
              </w:rPr>
              <w:t>1、评标办法中监理业绩证明材料需同时提供成交通知书(如有)、监理合同作为评审依据。业绩时间以监理合同</w:t>
            </w:r>
            <w:r>
              <w:rPr>
                <w:rFonts w:ascii="宋体" w:hAnsi="宋体" w:cs="宋体"/>
                <w:kern w:val="0"/>
                <w:lang w:bidi="ar"/>
              </w:rPr>
              <w:t>签订</w:t>
            </w:r>
            <w:r>
              <w:rPr>
                <w:rFonts w:hint="eastAsia" w:ascii="宋体" w:hAnsi="宋体" w:cs="宋体"/>
                <w:kern w:val="0"/>
                <w:lang w:bidi="ar"/>
              </w:rPr>
              <w:t>时间为准。如近年来，投标人法人机构发生合法变更或重组或法人名称变更时，应提供相关部门的合法批件或其他相关证明材料，证明其业绩、获奖等的继承性。</w:t>
            </w:r>
          </w:p>
          <w:p>
            <w:pPr>
              <w:widowControl/>
              <w:spacing w:line="360" w:lineRule="auto"/>
              <w:jc w:val="left"/>
              <w:rPr>
                <w:rFonts w:ascii="宋体" w:hAnsi="宋体" w:cs="宋体"/>
                <w:kern w:val="0"/>
                <w:lang w:bidi="ar"/>
              </w:rPr>
            </w:pPr>
            <w:r>
              <w:rPr>
                <w:rFonts w:hint="eastAsia" w:ascii="宋体" w:hAnsi="宋体" w:cs="宋体"/>
                <w:kern w:val="0"/>
                <w:lang w:bidi="ar"/>
              </w:rPr>
              <w:t xml:space="preserve">2、本项目严禁挂靠投标。企业不得出借本企业资质、证照以及本企业人员的资质、证照供他人投标，对出借资质、证照的，无论何时发现，属于投标未成交的，其投标保证金不予退还，属于已成交的，将取消其成交资格或终止合同，其投标保证金、履约担保不予退还，情节严重的将提请司法机关查处。 </w:t>
            </w:r>
          </w:p>
          <w:p>
            <w:pPr>
              <w:widowControl/>
              <w:spacing w:line="360" w:lineRule="auto"/>
              <w:jc w:val="left"/>
              <w:rPr>
                <w:rFonts w:ascii="宋体" w:hAnsi="宋体" w:cs="宋体"/>
                <w:kern w:val="0"/>
                <w:lang w:bidi="ar"/>
              </w:rPr>
            </w:pPr>
            <w:r>
              <w:rPr>
                <w:rFonts w:hint="eastAsia" w:ascii="宋体" w:hAnsi="宋体" w:cs="宋体"/>
                <w:kern w:val="0"/>
                <w:lang w:bidi="ar"/>
              </w:rPr>
              <w:t>3、成交通知书发出前，招标人视情况对成交候选人进行约谈及考察，如发现弄虚作假、围标、串标、出租（出借）资质行为，取消其成交资格，并依法处理。</w:t>
            </w:r>
          </w:p>
          <w:p>
            <w:pPr>
              <w:widowControl/>
              <w:spacing w:line="360" w:lineRule="auto"/>
              <w:jc w:val="left"/>
              <w:rPr>
                <w:rFonts w:ascii="宋体" w:hAnsi="宋体" w:cs="宋体"/>
                <w:kern w:val="0"/>
                <w:lang w:bidi="ar"/>
              </w:rPr>
            </w:pPr>
            <w:r>
              <w:rPr>
                <w:rFonts w:hint="eastAsia" w:ascii="宋体" w:hAnsi="宋体" w:cs="宋体"/>
                <w:kern w:val="0"/>
                <w:lang w:bidi="ar"/>
              </w:rPr>
              <w:t xml:space="preserve">4、本次招标范围内的监理项目，在实施过程中如因规划调整等各种原因出现工程量变更（减少或增加）、招标人取消或暂缓部分工程施工，成交人需无条件执行招标人的此类指令，同时也不得以“合同履行后可以获得的利益”为由要求赔偿损失。招标人按实际完成的工程支付监理费。 </w:t>
            </w:r>
          </w:p>
          <w:p>
            <w:pPr>
              <w:widowControl/>
              <w:spacing w:line="360" w:lineRule="auto"/>
              <w:jc w:val="left"/>
              <w:rPr>
                <w:rFonts w:ascii="宋体" w:hAnsi="宋体" w:cs="宋体"/>
                <w:kern w:val="0"/>
                <w:lang w:bidi="ar"/>
              </w:rPr>
            </w:pPr>
            <w:r>
              <w:rPr>
                <w:rFonts w:hint="eastAsia" w:ascii="宋体" w:hAnsi="宋体" w:cs="宋体"/>
                <w:kern w:val="0"/>
                <w:lang w:bidi="ar"/>
              </w:rPr>
              <w:t xml:space="preserve">5、合同履行期间，如承包人未按合同备案人员派驻监理机构人员，进场监理设备，存在其他严重违约行为，将依据监理合同规定赔偿违约金、提请行业监督部门处罚，给发包人造成损失的应当承担赔偿责任。 </w:t>
            </w:r>
          </w:p>
          <w:p>
            <w:pPr>
              <w:widowControl/>
              <w:spacing w:line="360" w:lineRule="auto"/>
              <w:jc w:val="left"/>
              <w:rPr>
                <w:rFonts w:ascii="宋体" w:hAnsi="宋体" w:cs="宋体"/>
                <w:kern w:val="0"/>
                <w:lang w:bidi="ar"/>
              </w:rPr>
            </w:pPr>
            <w:r>
              <w:rPr>
                <w:rFonts w:hint="eastAsia" w:ascii="宋体" w:hAnsi="宋体" w:cs="宋体"/>
                <w:kern w:val="0"/>
                <w:lang w:bidi="ar"/>
              </w:rPr>
              <w:t xml:space="preserve">6、承包人出现下列情形，发包人有权单方面立即终止合同。 </w:t>
            </w:r>
          </w:p>
          <w:p>
            <w:pPr>
              <w:widowControl/>
              <w:spacing w:line="360" w:lineRule="auto"/>
              <w:jc w:val="left"/>
              <w:rPr>
                <w:rFonts w:ascii="宋体" w:hAnsi="宋体" w:cs="宋体"/>
                <w:kern w:val="0"/>
                <w:lang w:bidi="ar"/>
              </w:rPr>
            </w:pPr>
            <w:r>
              <w:rPr>
                <w:rFonts w:hint="eastAsia" w:ascii="宋体" w:hAnsi="宋体" w:cs="宋体"/>
                <w:kern w:val="0"/>
                <w:lang w:bidi="ar"/>
              </w:rPr>
              <w:t xml:space="preserve">1) 合同履行期间违法转包、非法分包的；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2) 未按期限签订监理合同的；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3) 未按约定按时足额缴纳履约担保的；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4) 未按合同备案人员派驻监理机构人员 </w:t>
            </w:r>
          </w:p>
          <w:p>
            <w:pPr>
              <w:widowControl/>
              <w:spacing w:line="360" w:lineRule="auto"/>
              <w:jc w:val="left"/>
              <w:rPr>
                <w:rFonts w:ascii="宋体" w:hAnsi="宋体" w:cs="宋体"/>
                <w:kern w:val="0"/>
                <w:lang w:bidi="ar"/>
              </w:rPr>
            </w:pPr>
            <w:r>
              <w:rPr>
                <w:rFonts w:hint="eastAsia" w:ascii="宋体" w:hAnsi="宋体" w:cs="宋体"/>
                <w:kern w:val="0"/>
                <w:lang w:bidi="ar"/>
              </w:rPr>
              <w:t xml:space="preserve">5) 未按约定期限完成开工前期准备工作； </w:t>
            </w:r>
          </w:p>
          <w:p>
            <w:pPr>
              <w:widowControl/>
              <w:spacing w:line="360" w:lineRule="auto"/>
              <w:jc w:val="left"/>
              <w:rPr>
                <w:rFonts w:ascii="宋体" w:hAnsi="宋体" w:cs="宋体"/>
                <w:kern w:val="0"/>
                <w:lang w:bidi="ar"/>
              </w:rPr>
            </w:pPr>
            <w:r>
              <w:rPr>
                <w:rFonts w:hint="eastAsia" w:ascii="宋体" w:hAnsi="宋体" w:cs="宋体"/>
                <w:kern w:val="0"/>
                <w:lang w:bidi="ar"/>
              </w:rPr>
              <w:t xml:space="preserve">6) 工期严重滞后以至无法按期完成合同工期的；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7) 出现严重工程质量事故的；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8) 发生重大、特大生产安全事故（“重大、特大”的程度按照国家有关法律规定界定）； </w:t>
            </w:r>
          </w:p>
          <w:p>
            <w:pPr>
              <w:widowControl/>
              <w:spacing w:line="360" w:lineRule="auto"/>
              <w:jc w:val="left"/>
              <w:rPr>
                <w:rFonts w:ascii="宋体" w:hAnsi="宋体" w:cs="宋体"/>
                <w:kern w:val="0"/>
                <w:lang w:bidi="ar"/>
              </w:rPr>
            </w:pPr>
            <w:r>
              <w:rPr>
                <w:rFonts w:hint="eastAsia" w:ascii="宋体" w:hAnsi="宋体" w:cs="宋体"/>
                <w:kern w:val="0"/>
                <w:lang w:bidi="ar"/>
              </w:rPr>
              <w:t xml:space="preserve">9) 管理混乱、擅自变更主要管理人员、未到岗履职的；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10)承包人与第三方发生法律纠纷、严重影响项目进展的； </w:t>
            </w:r>
          </w:p>
          <w:p>
            <w:pPr>
              <w:widowControl/>
              <w:spacing w:line="360" w:lineRule="auto"/>
              <w:jc w:val="left"/>
              <w:rPr>
                <w:rFonts w:ascii="宋体" w:hAnsi="宋体" w:cs="宋体"/>
                <w:kern w:val="0"/>
                <w:lang w:bidi="ar"/>
              </w:rPr>
            </w:pPr>
            <w:r>
              <w:rPr>
                <w:rFonts w:hint="eastAsia" w:ascii="宋体" w:hAnsi="宋体" w:cs="宋体"/>
                <w:kern w:val="0"/>
                <w:lang w:bidi="ar"/>
              </w:rPr>
              <w:t xml:space="preserve">11)根据中国法律被吊销营业执照、清算或破产的； </w:t>
            </w:r>
          </w:p>
          <w:p>
            <w:pPr>
              <w:widowControl/>
              <w:spacing w:line="360" w:lineRule="auto"/>
              <w:jc w:val="left"/>
              <w:rPr>
                <w:rFonts w:ascii="宋体" w:hAnsi="宋体" w:cs="宋体"/>
                <w:kern w:val="0"/>
                <w:lang w:bidi="ar"/>
              </w:rPr>
            </w:pPr>
            <w:r>
              <w:rPr>
                <w:rFonts w:hint="eastAsia" w:ascii="宋体" w:hAnsi="宋体" w:cs="宋体"/>
                <w:kern w:val="0"/>
                <w:lang w:bidi="ar"/>
              </w:rPr>
              <w:t>12）法律、法规规定的其他情形。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99" w:type="dxa"/>
            <w:shd w:val="clear" w:color="auto" w:fill="auto"/>
            <w:vAlign w:val="center"/>
          </w:tcPr>
          <w:p>
            <w:pPr>
              <w:pStyle w:val="45"/>
              <w:spacing w:before="19" w:line="360" w:lineRule="auto"/>
              <w:jc w:val="center"/>
              <w:rPr>
                <w:sz w:val="21"/>
                <w:szCs w:val="21"/>
                <w:lang w:val="en-US"/>
              </w:rPr>
            </w:pPr>
            <w:r>
              <w:rPr>
                <w:rFonts w:hint="eastAsia"/>
                <w:sz w:val="21"/>
                <w:szCs w:val="21"/>
                <w:lang w:val="en-US"/>
              </w:rPr>
              <w:t>41</w:t>
            </w:r>
          </w:p>
        </w:tc>
        <w:tc>
          <w:tcPr>
            <w:tcW w:w="1935" w:type="dxa"/>
            <w:shd w:val="clear" w:color="auto" w:fill="auto"/>
            <w:vAlign w:val="center"/>
          </w:tcPr>
          <w:p>
            <w:pPr>
              <w:spacing w:line="420" w:lineRule="exact"/>
              <w:rPr>
                <w:rFonts w:ascii="仿宋" w:hAnsi="仿宋" w:eastAsia="仿宋" w:cs="Arial"/>
                <w:b/>
                <w:bCs/>
                <w:color w:val="000000"/>
                <w:sz w:val="28"/>
                <w:szCs w:val="24"/>
              </w:rPr>
            </w:pPr>
            <w:r>
              <w:rPr>
                <w:rFonts w:hint="eastAsia" w:ascii="仿宋" w:hAnsi="仿宋" w:eastAsia="仿宋" w:cs="Arial"/>
                <w:b/>
                <w:bCs/>
                <w:color w:val="000000"/>
                <w:sz w:val="28"/>
                <w:szCs w:val="24"/>
              </w:rPr>
              <w:t>特别提示：</w:t>
            </w:r>
          </w:p>
          <w:p>
            <w:pPr>
              <w:widowControl/>
              <w:jc w:val="left"/>
              <w:rPr>
                <w:rFonts w:ascii="宋体" w:hAnsi="宋体" w:cs="宋体"/>
                <w:color w:val="000000" w:themeColor="text1"/>
                <w:kern w:val="0"/>
                <w:lang w:eastAsia="en-US" w:bidi="ar"/>
                <w14:textFill>
                  <w14:solidFill>
                    <w14:schemeClr w14:val="tx1"/>
                  </w14:solidFill>
                </w14:textFill>
              </w:rPr>
            </w:pPr>
          </w:p>
        </w:tc>
        <w:tc>
          <w:tcPr>
            <w:tcW w:w="6711" w:type="dxa"/>
            <w:shd w:val="clear" w:color="auto" w:fill="auto"/>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仿宋" w:hAnsi="仿宋" w:eastAsia="仿宋" w:cs="Arial"/>
                <w:color w:val="000000"/>
                <w:sz w:val="28"/>
                <w:szCs w:val="24"/>
              </w:rPr>
              <w:t>1</w:t>
            </w:r>
            <w:r>
              <w:rPr>
                <w:rFonts w:hint="eastAsia" w:ascii="宋体" w:hAnsi="宋体" w:cs="宋体"/>
                <w:color w:val="000000" w:themeColor="text1"/>
                <w:kern w:val="0"/>
                <w:lang w:bidi="ar"/>
                <w14:textFill>
                  <w14:solidFill>
                    <w14:schemeClr w14:val="tx1"/>
                  </w14:solidFill>
                </w14:textFill>
              </w:rPr>
              <w:t>、成交人必须服从采购人各项管理制度；</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2、成交人须按照有关规定及监理规范向采购人提供完整的监理资料，并协助甲方整理相关工程资料，相关费用包含在响应报价中。</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 项目范围及要求</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3.1.监理范围：工程施工准备阶段、施工阶段监理服务和竣工报验、工程档案移交、审计阶段提供配合、工程保修阶段（缺陷责任期）的监理等相关服务工作。</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3.2监理内容：对工程的工期、质量、投资及安全文明施工管理进行有效控制，并在实施过程中进行合同管理、信息管理等相关工作，同时协调有关单位之间的工作关系等；协助委托人进行报批、报建等相关手续；组织对图纸的综合审查；对初步设计及概算的审查；在项目实施中如有增项，则监理内容相应增加。</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3.3工程质量的监理及检查验收标准：本工程以工程施工设计图纸、图纸会审记录、设计变更通知书、技术联系单、各类试验报告、产品合格证书等有关资料和合同规定的条款为依据，按国家颁布的工程施工验收规范及监理大纲进行监理、检查、验收，符合建设工程监理规范《GB/T50319-2013》要求。</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3.4监理范围还包括：正常监理服务以外其他的相关服务，包括但不限于配合采购人办理报建、报批、报审、施工招标过程的技术服务、施工图纸复核、施工合同的拟定、洽谈以及施工许可证申请办理、工程现场前期的准备工作、设计协调、竣工验收、工程结算初审、工程备案以及工期控制等全过程服务。</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3.5监理服务期：按第二章供应商须知前附表规定。</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3.6供应商在本工程中配备的监理工程师，须具有丰富的监理经验、身体健康、年龄适中、有良好职业道德的专职人员。</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3.7承担本工程施工监理的监理机构须进驻现场，总监理工程师必须常驻现场，所有监理人员（含总监）出勤率为100%，否则采购人有权进行处罚，直至清退出场。</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3.8在建设过程中，成交人必须按投标时承诺配备的人员及时到位，配备专业人员，未经采购人同意，成交人不得擅自更换或者减少上述人员。根据现场施工情况，保证监理人员每天到场数量满足要求，采购人有权根据监理现场人员到位情况，要求其增加专业人员，监理单位必须服从，否则，视同成交人违约，采购人有权中止合同履行。</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3.9监理人员配要求</w:t>
            </w:r>
          </w:p>
          <w:tbl>
            <w:tblPr>
              <w:tblStyle w:val="20"/>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2027"/>
              <w:gridCol w:w="1659"/>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1127" w:type="pct"/>
                  <w:vAlign w:val="center"/>
                </w:tcPr>
                <w:p>
                  <w:pPr>
                    <w:spacing w:line="240" w:lineRule="exact"/>
                    <w:jc w:val="center"/>
                    <w:rPr>
                      <w:b/>
                      <w:bCs/>
                      <w:kern w:val="0"/>
                      <w:szCs w:val="24"/>
                    </w:rPr>
                  </w:pPr>
                  <w:r>
                    <w:rPr>
                      <w:rFonts w:hint="eastAsia"/>
                      <w:b/>
                      <w:bCs/>
                      <w:kern w:val="0"/>
                      <w:szCs w:val="24"/>
                    </w:rPr>
                    <w:t>岗位</w:t>
                  </w:r>
                </w:p>
              </w:tc>
              <w:tc>
                <w:tcPr>
                  <w:tcW w:w="1513" w:type="pct"/>
                  <w:vAlign w:val="center"/>
                </w:tcPr>
                <w:p>
                  <w:pPr>
                    <w:spacing w:line="240" w:lineRule="exact"/>
                    <w:jc w:val="center"/>
                    <w:rPr>
                      <w:b/>
                      <w:bCs/>
                      <w:kern w:val="0"/>
                      <w:szCs w:val="24"/>
                    </w:rPr>
                  </w:pPr>
                  <w:r>
                    <w:rPr>
                      <w:rFonts w:hint="eastAsia"/>
                      <w:b/>
                      <w:bCs/>
                      <w:kern w:val="0"/>
                      <w:szCs w:val="24"/>
                    </w:rPr>
                    <w:t>人员要求说明</w:t>
                  </w:r>
                </w:p>
              </w:tc>
              <w:tc>
                <w:tcPr>
                  <w:tcW w:w="1238" w:type="pct"/>
                  <w:vAlign w:val="center"/>
                </w:tcPr>
                <w:p>
                  <w:pPr>
                    <w:spacing w:line="240" w:lineRule="exact"/>
                    <w:jc w:val="center"/>
                    <w:rPr>
                      <w:b/>
                      <w:bCs/>
                      <w:kern w:val="0"/>
                      <w:szCs w:val="24"/>
                    </w:rPr>
                  </w:pPr>
                  <w:r>
                    <w:rPr>
                      <w:rFonts w:hint="eastAsia"/>
                      <w:b/>
                      <w:bCs/>
                      <w:kern w:val="0"/>
                      <w:szCs w:val="24"/>
                    </w:rPr>
                    <w:t>常驻现场说明</w:t>
                  </w:r>
                </w:p>
              </w:tc>
              <w:tc>
                <w:tcPr>
                  <w:tcW w:w="1122" w:type="pct"/>
                  <w:vAlign w:val="center"/>
                </w:tcPr>
                <w:p>
                  <w:pPr>
                    <w:spacing w:line="240" w:lineRule="exact"/>
                    <w:jc w:val="center"/>
                    <w:rPr>
                      <w:b/>
                      <w:bCs/>
                      <w:kern w:val="0"/>
                      <w:szCs w:val="24"/>
                    </w:rPr>
                  </w:pPr>
                  <w:r>
                    <w:rPr>
                      <w:rFonts w:hint="eastAsia"/>
                      <w:b/>
                      <w:bCs/>
                      <w:kern w:val="0"/>
                      <w:szCs w:val="24"/>
                    </w:rPr>
                    <w:t>监理工程师数量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7" w:type="pct"/>
                  <w:vAlign w:val="center"/>
                </w:tcPr>
                <w:p>
                  <w:pPr>
                    <w:spacing w:line="240" w:lineRule="exact"/>
                    <w:jc w:val="left"/>
                    <w:rPr>
                      <w:kern w:val="0"/>
                      <w:szCs w:val="24"/>
                    </w:rPr>
                  </w:pPr>
                  <w:r>
                    <w:rPr>
                      <w:rFonts w:hint="eastAsia"/>
                      <w:kern w:val="0"/>
                      <w:szCs w:val="24"/>
                    </w:rPr>
                    <w:t>总监理工程师</w:t>
                  </w:r>
                </w:p>
              </w:tc>
              <w:tc>
                <w:tcPr>
                  <w:tcW w:w="1513" w:type="pct"/>
                  <w:vAlign w:val="center"/>
                </w:tcPr>
                <w:p>
                  <w:pPr>
                    <w:spacing w:line="240" w:lineRule="exact"/>
                    <w:jc w:val="center"/>
                    <w:rPr>
                      <w:kern w:val="0"/>
                      <w:szCs w:val="24"/>
                    </w:rPr>
                  </w:pPr>
                  <w:r>
                    <w:rPr>
                      <w:rFonts w:hint="eastAsia"/>
                      <w:kern w:val="0"/>
                      <w:szCs w:val="24"/>
                    </w:rPr>
                    <w:t>注册监理工程师(电力工程专业或机电安装工程专业)</w:t>
                  </w:r>
                </w:p>
              </w:tc>
              <w:tc>
                <w:tcPr>
                  <w:tcW w:w="1238" w:type="pct"/>
                  <w:vAlign w:val="center"/>
                </w:tcPr>
                <w:p>
                  <w:pPr>
                    <w:spacing w:line="240" w:lineRule="exact"/>
                    <w:jc w:val="center"/>
                    <w:rPr>
                      <w:kern w:val="0"/>
                      <w:szCs w:val="24"/>
                    </w:rPr>
                  </w:pPr>
                  <w:r>
                    <w:rPr>
                      <w:rFonts w:hint="eastAsia"/>
                      <w:kern w:val="0"/>
                      <w:szCs w:val="24"/>
                    </w:rPr>
                    <w:t>按监理考核指标执行</w:t>
                  </w:r>
                </w:p>
              </w:tc>
              <w:tc>
                <w:tcPr>
                  <w:tcW w:w="1122" w:type="pct"/>
                  <w:vAlign w:val="center"/>
                </w:tcPr>
                <w:p>
                  <w:pPr>
                    <w:spacing w:line="240" w:lineRule="exact"/>
                    <w:jc w:val="center"/>
                    <w:rPr>
                      <w:kern w:val="0"/>
                      <w:szCs w:val="24"/>
                    </w:rPr>
                  </w:pPr>
                  <w:r>
                    <w:rPr>
                      <w:kern w:val="0"/>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7" w:type="pct"/>
                  <w:vAlign w:val="center"/>
                </w:tcPr>
                <w:p>
                  <w:pPr>
                    <w:spacing w:line="240" w:lineRule="exact"/>
                    <w:jc w:val="left"/>
                    <w:rPr>
                      <w:kern w:val="0"/>
                      <w:szCs w:val="24"/>
                    </w:rPr>
                  </w:pPr>
                  <w:r>
                    <w:rPr>
                      <w:rFonts w:hint="eastAsia"/>
                      <w:kern w:val="0"/>
                      <w:szCs w:val="24"/>
                    </w:rPr>
                    <w:t>专业监理工程师</w:t>
                  </w:r>
                </w:p>
              </w:tc>
              <w:tc>
                <w:tcPr>
                  <w:tcW w:w="1513" w:type="pct"/>
                  <w:vAlign w:val="center"/>
                </w:tcPr>
                <w:p>
                  <w:pPr>
                    <w:spacing w:line="240" w:lineRule="exact"/>
                    <w:jc w:val="center"/>
                    <w:rPr>
                      <w:kern w:val="0"/>
                      <w:szCs w:val="24"/>
                    </w:rPr>
                  </w:pPr>
                  <w:r>
                    <w:rPr>
                      <w:rFonts w:hint="eastAsia"/>
                      <w:kern w:val="0"/>
                      <w:szCs w:val="24"/>
                    </w:rPr>
                    <w:t>注册监理工程师(电力工程专业或机电安装工程专业)</w:t>
                  </w:r>
                </w:p>
              </w:tc>
              <w:tc>
                <w:tcPr>
                  <w:tcW w:w="1238" w:type="pct"/>
                  <w:vAlign w:val="center"/>
                </w:tcPr>
                <w:p>
                  <w:pPr>
                    <w:spacing w:line="240" w:lineRule="exact"/>
                    <w:jc w:val="center"/>
                    <w:rPr>
                      <w:kern w:val="0"/>
                      <w:szCs w:val="24"/>
                    </w:rPr>
                  </w:pPr>
                  <w:r>
                    <w:rPr>
                      <w:rFonts w:hint="eastAsia"/>
                      <w:kern w:val="0"/>
                      <w:szCs w:val="24"/>
                    </w:rPr>
                    <w:t>按监理考核指标执行</w:t>
                  </w:r>
                </w:p>
              </w:tc>
              <w:tc>
                <w:tcPr>
                  <w:tcW w:w="1122" w:type="pct"/>
                  <w:vAlign w:val="center"/>
                </w:tcPr>
                <w:p>
                  <w:pPr>
                    <w:spacing w:line="240" w:lineRule="exact"/>
                    <w:jc w:val="center"/>
                    <w:rPr>
                      <w:kern w:val="0"/>
                      <w:szCs w:val="24"/>
                    </w:rPr>
                  </w:pPr>
                  <w:r>
                    <w:rPr>
                      <w:kern w:val="0"/>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7" w:type="pct"/>
                  <w:vAlign w:val="center"/>
                </w:tcPr>
                <w:p>
                  <w:pPr>
                    <w:spacing w:line="240" w:lineRule="exact"/>
                    <w:jc w:val="left"/>
                    <w:rPr>
                      <w:kern w:val="0"/>
                      <w:szCs w:val="24"/>
                    </w:rPr>
                  </w:pPr>
                  <w:r>
                    <w:rPr>
                      <w:rFonts w:hint="eastAsia"/>
                      <w:kern w:val="0"/>
                      <w:szCs w:val="24"/>
                    </w:rPr>
                    <w:t>监理员</w:t>
                  </w:r>
                </w:p>
              </w:tc>
              <w:tc>
                <w:tcPr>
                  <w:tcW w:w="1513" w:type="pct"/>
                  <w:vAlign w:val="center"/>
                </w:tcPr>
                <w:p>
                  <w:pPr>
                    <w:spacing w:line="240" w:lineRule="exact"/>
                    <w:jc w:val="center"/>
                    <w:rPr>
                      <w:kern w:val="0"/>
                      <w:szCs w:val="24"/>
                    </w:rPr>
                  </w:pPr>
                  <w:r>
                    <w:rPr>
                      <w:rFonts w:hint="eastAsia"/>
                      <w:kern w:val="0"/>
                      <w:szCs w:val="24"/>
                    </w:rPr>
                    <w:t>/</w:t>
                  </w:r>
                </w:p>
              </w:tc>
              <w:tc>
                <w:tcPr>
                  <w:tcW w:w="1238" w:type="pct"/>
                  <w:vAlign w:val="center"/>
                </w:tcPr>
                <w:p>
                  <w:pPr>
                    <w:spacing w:line="240" w:lineRule="exact"/>
                    <w:jc w:val="center"/>
                    <w:rPr>
                      <w:kern w:val="0"/>
                      <w:szCs w:val="24"/>
                    </w:rPr>
                  </w:pPr>
                  <w:r>
                    <w:rPr>
                      <w:rFonts w:hint="eastAsia"/>
                      <w:kern w:val="0"/>
                      <w:szCs w:val="24"/>
                    </w:rPr>
                    <w:t>按监理考核指标执行</w:t>
                  </w:r>
                </w:p>
              </w:tc>
              <w:tc>
                <w:tcPr>
                  <w:tcW w:w="1122" w:type="pct"/>
                  <w:vAlign w:val="center"/>
                </w:tcPr>
                <w:p>
                  <w:pPr>
                    <w:spacing w:line="240" w:lineRule="exact"/>
                    <w:jc w:val="center"/>
                    <w:rPr>
                      <w:kern w:val="0"/>
                      <w:szCs w:val="24"/>
                    </w:rPr>
                  </w:pPr>
                  <w:r>
                    <w:rPr>
                      <w:rFonts w:hint="eastAsia"/>
                      <w:kern w:val="0"/>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78" w:type="pct"/>
                  <w:gridSpan w:val="3"/>
                  <w:vAlign w:val="center"/>
                </w:tcPr>
                <w:p>
                  <w:pPr>
                    <w:spacing w:line="240" w:lineRule="exact"/>
                    <w:jc w:val="center"/>
                    <w:rPr>
                      <w:kern w:val="0"/>
                      <w:szCs w:val="24"/>
                    </w:rPr>
                  </w:pPr>
                  <w:r>
                    <w:rPr>
                      <w:rFonts w:hint="eastAsia"/>
                      <w:kern w:val="0"/>
                      <w:szCs w:val="24"/>
                    </w:rPr>
                    <w:t>合计</w:t>
                  </w:r>
                </w:p>
              </w:tc>
              <w:tc>
                <w:tcPr>
                  <w:tcW w:w="1122" w:type="pct"/>
                  <w:vAlign w:val="center"/>
                </w:tcPr>
                <w:p>
                  <w:pPr>
                    <w:spacing w:line="240" w:lineRule="exact"/>
                    <w:jc w:val="center"/>
                    <w:rPr>
                      <w:kern w:val="0"/>
                      <w:szCs w:val="24"/>
                    </w:rPr>
                  </w:pPr>
                  <w:r>
                    <w:rPr>
                      <w:rFonts w:hint="eastAsia"/>
                      <w:kern w:val="0"/>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5000" w:type="pct"/>
                  <w:gridSpan w:val="4"/>
                  <w:vAlign w:val="center"/>
                </w:tcPr>
                <w:p>
                  <w:pPr>
                    <w:spacing w:line="440" w:lineRule="exact"/>
                    <w:ind w:left="107"/>
                    <w:jc w:val="left"/>
                    <w:rPr>
                      <w:kern w:val="0"/>
                      <w:szCs w:val="24"/>
                    </w:rPr>
                  </w:pPr>
                  <w:r>
                    <w:rPr>
                      <w:rFonts w:hint="eastAsia"/>
                      <w:kern w:val="0"/>
                      <w:szCs w:val="24"/>
                    </w:rPr>
                    <w:t>备注：</w:t>
                  </w:r>
                </w:p>
                <w:p>
                  <w:pPr>
                    <w:spacing w:line="440" w:lineRule="exact"/>
                    <w:ind w:left="107" w:right="219"/>
                    <w:jc w:val="left"/>
                    <w:rPr>
                      <w:kern w:val="0"/>
                      <w:szCs w:val="24"/>
                    </w:rPr>
                  </w:pPr>
                  <w:r>
                    <w:rPr>
                      <w:rFonts w:hint="eastAsia"/>
                      <w:kern w:val="0"/>
                      <w:szCs w:val="24"/>
                    </w:rPr>
                    <w:t>（</w:t>
                  </w:r>
                  <w:r>
                    <w:rPr>
                      <w:kern w:val="0"/>
                      <w:szCs w:val="24"/>
                    </w:rPr>
                    <w:t>1</w:t>
                  </w:r>
                  <w:r>
                    <w:rPr>
                      <w:rFonts w:hint="eastAsia"/>
                      <w:kern w:val="0"/>
                      <w:szCs w:val="24"/>
                    </w:rPr>
                    <w:t>）投标人可根据采购需求和项目实际情况合理设置人员架构，且不得低于上表所列监理人员配额。</w:t>
                  </w:r>
                </w:p>
                <w:p>
                  <w:pPr>
                    <w:spacing w:line="440" w:lineRule="exact"/>
                    <w:ind w:left="107" w:right="219"/>
                    <w:jc w:val="left"/>
                    <w:rPr>
                      <w:kern w:val="0"/>
                      <w:szCs w:val="24"/>
                    </w:rPr>
                  </w:pPr>
                  <w:r>
                    <w:rPr>
                      <w:rFonts w:hint="eastAsia"/>
                      <w:kern w:val="0"/>
                      <w:szCs w:val="24"/>
                    </w:rPr>
                    <w:t>（2）合同签订前，成交人须提交项目组人员资质证书原件至采购人处进行查验，方可签订监理合同。否则采购人有权力拒签合同。</w:t>
                  </w:r>
                </w:p>
              </w:tc>
            </w:tr>
          </w:tbl>
          <w:p>
            <w:pPr>
              <w:widowControl/>
              <w:spacing w:line="360" w:lineRule="auto"/>
              <w:jc w:val="left"/>
              <w:rPr>
                <w:rFonts w:ascii="宋体" w:hAnsi="宋体" w:cs="宋体"/>
                <w:color w:val="000000" w:themeColor="text1"/>
                <w:kern w:val="0"/>
                <w:lang w:bidi="ar"/>
                <w14:textFill>
                  <w14:solidFill>
                    <w14:schemeClr w14:val="tx1"/>
                  </w14:solidFill>
                </w14:textFill>
              </w:rPr>
            </w:pP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 xml:space="preserve">3.9其他要求 </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1)合同履行中，采购人将对成交人履约情况进行评价，如评价较差，采购人有权单方面解除合同，本项目后期工程监理采购人将重新选择。</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（三） 报价要求</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1.本项目的报价采用竞争性磋商文件供应商须知前附表规定的方式。</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2.报价应含供应商在投标文件中提出的各项支付金额。</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3.供应商的报价，应是完成供应商须知和项目范围及监理服务期的全部，不得以任何理由予以重复，作为供应商计算单价或总价的依据。</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4.供应商可先到工地踏勘以充分了解工地位置、地形、地貌、道路、周边配套、现场条件及任何其他足以影响报价的情况，任何因忽视或误解工地情况而导致的索赔申请将不被批准。</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5.供应商应充分了解施工场地的现状，熟悉招标内容，正确估计监理工作的难易程度和必须投入技术力量，根据工程实际情况、采购内容和本单位实力，结合市场行情确定本项目工程监理费用。</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6.供应商的投标价格应是监理服务期内，监理单位按</w:t>
            </w:r>
            <w:r>
              <w:rPr>
                <w:rFonts w:hint="eastAsia" w:ascii="宋体" w:hAnsi="宋体" w:cs="宋体"/>
                <w:color w:val="000000" w:themeColor="text1"/>
                <w:kern w:val="0"/>
                <w:lang w:val="en-US" w:eastAsia="zh-CN" w:bidi="ar"/>
                <w14:textFill>
                  <w14:solidFill>
                    <w14:schemeClr w14:val="tx1"/>
                  </w14:solidFill>
                </w14:textFill>
              </w:rPr>
              <w:t>招标</w:t>
            </w:r>
            <w:r>
              <w:rPr>
                <w:rFonts w:hint="eastAsia" w:ascii="宋体" w:hAnsi="宋体" w:cs="宋体"/>
                <w:color w:val="000000" w:themeColor="text1"/>
                <w:kern w:val="0"/>
                <w:lang w:bidi="ar"/>
                <w14:textFill>
                  <w14:solidFill>
                    <w14:schemeClr w14:val="tx1"/>
                  </w14:solidFill>
                </w14:textFill>
              </w:rPr>
              <w:t xml:space="preserve">文件及合同规定的范围所提供的全部服务所需的全部费用及应缴纳的一切税费，包括监理额外工作报酬及附加工作报酬。其他一切办公、交通、住宿及生活等相关费用由成交人自理。 </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7.报价依据</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7.1本项目竞争性磋商文件要求、项目实际情况、供应商自身情况、市场情况，供应商报出监理服务费率。</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7.2本项目采用“费率”报价。成交监理费率不得因工期延长、工程量的增减和政策性调整等而改变。在本合同执行完毕、工程竣工验收、决算、审计后，以审计核定的工程造价、合同、</w:t>
            </w:r>
            <w:r>
              <w:rPr>
                <w:rFonts w:hint="eastAsia" w:ascii="宋体" w:hAnsi="宋体" w:cs="宋体"/>
                <w:color w:val="000000" w:themeColor="text1"/>
                <w:kern w:val="0"/>
                <w:lang w:val="en-US" w:eastAsia="zh-CN" w:bidi="ar"/>
                <w14:textFill>
                  <w14:solidFill>
                    <w14:schemeClr w14:val="tx1"/>
                  </w14:solidFill>
                </w14:textFill>
              </w:rPr>
              <w:t>招标</w:t>
            </w:r>
            <w:r>
              <w:rPr>
                <w:rFonts w:hint="eastAsia" w:ascii="宋体" w:hAnsi="宋体" w:cs="宋体"/>
                <w:color w:val="000000" w:themeColor="text1"/>
                <w:kern w:val="0"/>
                <w:lang w:bidi="ar"/>
                <w14:textFill>
                  <w14:solidFill>
                    <w14:schemeClr w14:val="tx1"/>
                  </w14:solidFill>
                </w14:textFill>
              </w:rPr>
              <w:t>文件规定、成交监理费率调整监理服务费。</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7.3供应商投标报价包括该工程施工图纸范围内的所有方面。</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7.4采购人就本项目监理服务费率设定最高限价，见下表。</w:t>
            </w:r>
          </w:p>
          <w:tbl>
            <w:tblPr>
              <w:tblStyle w:val="20"/>
              <w:tblpPr w:leftFromText="180" w:rightFromText="180" w:vertAnchor="text" w:horzAnchor="page" w:tblpX="145" w:tblpY="323"/>
              <w:tblOverlap w:val="never"/>
              <w:tblW w:w="6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36"/>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9" w:type="dxa"/>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序号</w:t>
                  </w:r>
                </w:p>
              </w:tc>
              <w:tc>
                <w:tcPr>
                  <w:tcW w:w="1236" w:type="dxa"/>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项目</w:t>
                  </w:r>
                </w:p>
              </w:tc>
              <w:tc>
                <w:tcPr>
                  <w:tcW w:w="4313" w:type="dxa"/>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概算及费率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9" w:type="dxa"/>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w:t>
                  </w:r>
                </w:p>
              </w:tc>
              <w:tc>
                <w:tcPr>
                  <w:tcW w:w="1236" w:type="dxa"/>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工程概算</w:t>
                  </w:r>
                </w:p>
              </w:tc>
              <w:tc>
                <w:tcPr>
                  <w:tcW w:w="4313" w:type="dxa"/>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 xml:space="preserve">约673万元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89" w:type="dxa"/>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w:t>
                  </w:r>
                </w:p>
              </w:tc>
              <w:tc>
                <w:tcPr>
                  <w:tcW w:w="1236" w:type="dxa"/>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监理服务费率最高限价</w:t>
                  </w:r>
                </w:p>
              </w:tc>
              <w:tc>
                <w:tcPr>
                  <w:tcW w:w="4313" w:type="dxa"/>
                  <w:vAlign w:val="center"/>
                </w:tcPr>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监理费率不得高于或等于3.2% 。（控制价可以按照最高标准取费填写具体数值，最高限价可以低于最高标准费率，可以写小于3.2%的数值）</w:t>
                  </w:r>
                </w:p>
                <w:p>
                  <w:pPr>
                    <w:widowControl/>
                    <w:spacing w:line="360" w:lineRule="auto"/>
                    <w:jc w:val="left"/>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采用费率报价的监服务费=工程结算审定价格×成交监理费率</w:t>
                  </w:r>
                </w:p>
              </w:tc>
            </w:tr>
          </w:tbl>
          <w:p>
            <w:pPr>
              <w:pStyle w:val="2"/>
              <w:ind w:firstLine="0" w:firstLineChars="0"/>
              <w:rPr>
                <w:rFonts w:ascii="仿宋" w:hAnsi="仿宋" w:eastAsia="仿宋" w:cs="Arial"/>
                <w:sz w:val="28"/>
                <w:szCs w:val="24"/>
              </w:rPr>
            </w:pPr>
          </w:p>
          <w:p>
            <w:pPr>
              <w:widowControl/>
              <w:spacing w:line="360" w:lineRule="auto"/>
              <w:jc w:val="left"/>
            </w:pPr>
            <w:r>
              <w:rPr>
                <w:rFonts w:hint="eastAsia" w:ascii="宋体" w:hAnsi="宋体" w:cs="宋体"/>
                <w:color w:val="000000" w:themeColor="text1"/>
                <w:kern w:val="0"/>
                <w:lang w:bidi="ar"/>
                <w14:textFill>
                  <w14:solidFill>
                    <w14:schemeClr w14:val="tx1"/>
                  </w14:solidFill>
                </w14:textFill>
              </w:rPr>
              <w:t>7.5监理费率（百分比的形式）报价时，百分号前数字的数字保留小数点后2位小数。</w:t>
            </w:r>
          </w:p>
        </w:tc>
      </w:tr>
    </w:tbl>
    <w:p>
      <w:pPr>
        <w:widowControl/>
        <w:spacing w:line="360" w:lineRule="auto"/>
        <w:jc w:val="left"/>
        <w:rPr>
          <w:rFonts w:ascii="宋体" w:hAnsi="宋体"/>
        </w:rPr>
      </w:pPr>
    </w:p>
    <w:p>
      <w:pPr>
        <w:pStyle w:val="6"/>
      </w:pPr>
      <w:r>
        <w:t>二、供应商须知正文</w:t>
      </w:r>
    </w:p>
    <w:p>
      <w:pPr>
        <w:pStyle w:val="6"/>
        <w:numPr>
          <w:ilvl w:val="0"/>
          <w:numId w:val="5"/>
        </w:numPr>
        <w:jc w:val="left"/>
        <w:rPr>
          <w:sz w:val="22"/>
        </w:rPr>
      </w:pPr>
      <w:r>
        <w:rPr>
          <w:sz w:val="22"/>
        </w:rPr>
        <w:t>适用范围</w:t>
      </w:r>
    </w:p>
    <w:p>
      <w:pPr>
        <w:pStyle w:val="33"/>
        <w:numPr>
          <w:ilvl w:val="1"/>
          <w:numId w:val="5"/>
        </w:numPr>
        <w:tabs>
          <w:tab w:val="left" w:pos="1090"/>
        </w:tabs>
        <w:spacing w:before="159" w:line="360" w:lineRule="auto"/>
        <w:ind w:right="2275" w:hanging="3"/>
        <w:jc w:val="both"/>
        <w:rPr>
          <w:b/>
          <w:sz w:val="21"/>
          <w:szCs w:val="21"/>
        </w:rPr>
      </w:pPr>
      <w:r>
        <w:rPr>
          <w:spacing w:val="-1"/>
          <w:sz w:val="21"/>
          <w:szCs w:val="21"/>
        </w:rPr>
        <w:t>本竞争性磋商文件仅适用于本次竞争性磋商所述的服务项目采购。</w:t>
      </w:r>
    </w:p>
    <w:p>
      <w:pPr>
        <w:pStyle w:val="33"/>
        <w:tabs>
          <w:tab w:val="left" w:pos="1090"/>
        </w:tabs>
        <w:spacing w:before="159" w:line="360" w:lineRule="auto"/>
        <w:ind w:left="668" w:right="2275" w:firstLine="0"/>
        <w:jc w:val="both"/>
        <w:rPr>
          <w:b/>
          <w:sz w:val="21"/>
          <w:szCs w:val="21"/>
        </w:rPr>
      </w:pPr>
      <w:r>
        <w:rPr>
          <w:b/>
          <w:sz w:val="21"/>
          <w:szCs w:val="21"/>
        </w:rPr>
        <w:t>2.定义</w:t>
      </w:r>
    </w:p>
    <w:p>
      <w:pPr>
        <w:pStyle w:val="33"/>
        <w:numPr>
          <w:ilvl w:val="1"/>
          <w:numId w:val="6"/>
        </w:numPr>
        <w:tabs>
          <w:tab w:val="left" w:pos="1152"/>
        </w:tabs>
        <w:spacing w:line="360" w:lineRule="auto"/>
        <w:ind w:right="253" w:firstLine="434"/>
        <w:jc w:val="both"/>
        <w:rPr>
          <w:sz w:val="21"/>
          <w:szCs w:val="21"/>
        </w:rPr>
      </w:pPr>
      <w:r>
        <w:rPr>
          <w:spacing w:val="-1"/>
          <w:sz w:val="21"/>
          <w:szCs w:val="21"/>
        </w:rPr>
        <w:t>服务：系指除货物和工程以外的其他政府采购对象，包括咨询、调研、</w:t>
      </w:r>
      <w:r>
        <w:rPr>
          <w:sz w:val="21"/>
          <w:szCs w:val="21"/>
        </w:rPr>
        <w:t>评估、规划、设计、监理、审计、保险、租赁、印刷、维修、物业管理等。</w:t>
      </w:r>
    </w:p>
    <w:p>
      <w:pPr>
        <w:pStyle w:val="33"/>
        <w:numPr>
          <w:ilvl w:val="1"/>
          <w:numId w:val="6"/>
        </w:numPr>
        <w:tabs>
          <w:tab w:val="left" w:pos="1090"/>
        </w:tabs>
        <w:spacing w:line="360" w:lineRule="auto"/>
        <w:ind w:right="370" w:firstLine="434"/>
        <w:jc w:val="both"/>
        <w:rPr>
          <w:sz w:val="21"/>
          <w:szCs w:val="21"/>
        </w:rPr>
      </w:pPr>
      <w:r>
        <w:rPr>
          <w:spacing w:val="-2"/>
          <w:sz w:val="21"/>
          <w:szCs w:val="21"/>
        </w:rPr>
        <w:t>时限</w:t>
      </w:r>
      <w:r>
        <w:rPr>
          <w:sz w:val="21"/>
          <w:szCs w:val="21"/>
        </w:rPr>
        <w:t>（</w:t>
      </w:r>
      <w:r>
        <w:rPr>
          <w:spacing w:val="-2"/>
          <w:sz w:val="21"/>
          <w:szCs w:val="21"/>
        </w:rPr>
        <w:t>年份、月份等</w:t>
      </w:r>
      <w:r>
        <w:rPr>
          <w:spacing w:val="-3"/>
          <w:sz w:val="21"/>
          <w:szCs w:val="21"/>
        </w:rPr>
        <w:t>）</w:t>
      </w:r>
      <w:r>
        <w:rPr>
          <w:spacing w:val="-6"/>
          <w:sz w:val="21"/>
          <w:szCs w:val="21"/>
        </w:rPr>
        <w:t xml:space="preserve">计算：系指从竞争性磋商之日向前追溯 </w:t>
      </w:r>
      <w:r>
        <w:rPr>
          <w:sz w:val="21"/>
          <w:szCs w:val="21"/>
        </w:rPr>
        <w:t>X</w:t>
      </w:r>
      <w:r>
        <w:rPr>
          <w:spacing w:val="-30"/>
          <w:sz w:val="21"/>
          <w:szCs w:val="21"/>
        </w:rPr>
        <w:t xml:space="preserve"> 年</w:t>
      </w:r>
      <w:r>
        <w:rPr>
          <w:sz w:val="21"/>
          <w:szCs w:val="21"/>
        </w:rPr>
        <w:t>/</w:t>
      </w:r>
      <w:r>
        <w:rPr>
          <w:spacing w:val="-3"/>
          <w:sz w:val="21"/>
          <w:szCs w:val="21"/>
        </w:rPr>
        <w:t xml:space="preserve">月（“X” </w:t>
      </w:r>
      <w:r>
        <w:rPr>
          <w:sz w:val="21"/>
          <w:szCs w:val="21"/>
        </w:rPr>
        <w:t>为“一”及以后整数）起算。</w:t>
      </w:r>
    </w:p>
    <w:p>
      <w:pPr>
        <w:pStyle w:val="33"/>
        <w:numPr>
          <w:ilvl w:val="1"/>
          <w:numId w:val="6"/>
        </w:numPr>
        <w:tabs>
          <w:tab w:val="left" w:pos="1090"/>
        </w:tabs>
        <w:spacing w:line="360" w:lineRule="auto"/>
        <w:ind w:right="368" w:firstLine="434"/>
        <w:jc w:val="both"/>
        <w:rPr>
          <w:sz w:val="21"/>
          <w:szCs w:val="21"/>
        </w:rPr>
      </w:pPr>
      <w:r>
        <w:rPr>
          <w:spacing w:val="-5"/>
          <w:sz w:val="21"/>
          <w:szCs w:val="21"/>
        </w:rPr>
        <w:t>业绩：除非本竞争性磋商文件中另有规定，业绩系指符合本竞争性磋商文件规定的与</w:t>
      </w:r>
      <w:r>
        <w:rPr>
          <w:sz w:val="21"/>
          <w:szCs w:val="21"/>
        </w:rPr>
        <w:t>最终用户签订的合同。供应商与其关联公司（如母公司、控股公司、分公司、子公司、同一法定代表人的公司等）之间签订的合同，均不予认可。</w:t>
      </w:r>
    </w:p>
    <w:p>
      <w:pPr>
        <w:pStyle w:val="9"/>
        <w:spacing w:line="360" w:lineRule="auto"/>
        <w:ind w:left="234" w:right="296" w:firstLine="434"/>
        <w:rPr>
          <w:sz w:val="21"/>
          <w:szCs w:val="21"/>
        </w:rPr>
      </w:pPr>
      <w:r>
        <w:rPr>
          <w:sz w:val="21"/>
          <w:szCs w:val="21"/>
        </w:rPr>
        <w:t>除非本竞争性磋商文件中另有规定，否则业绩均为已服务完毕的业绩，业绩时间均以合同签订之日为追溯节点。</w:t>
      </w:r>
    </w:p>
    <w:p>
      <w:pPr>
        <w:pStyle w:val="6"/>
        <w:numPr>
          <w:ilvl w:val="0"/>
          <w:numId w:val="7"/>
        </w:numPr>
        <w:jc w:val="left"/>
        <w:rPr>
          <w:sz w:val="22"/>
        </w:rPr>
      </w:pPr>
      <w:r>
        <w:rPr>
          <w:sz w:val="22"/>
        </w:rPr>
        <w:t>采购人、采购代理机构及供应商</w:t>
      </w:r>
    </w:p>
    <w:p>
      <w:pPr>
        <w:pStyle w:val="33"/>
        <w:numPr>
          <w:ilvl w:val="1"/>
          <w:numId w:val="7"/>
        </w:numPr>
        <w:tabs>
          <w:tab w:val="left" w:pos="1090"/>
        </w:tabs>
        <w:spacing w:before="156" w:line="360" w:lineRule="auto"/>
        <w:ind w:right="370" w:firstLine="434"/>
        <w:jc w:val="both"/>
        <w:rPr>
          <w:sz w:val="21"/>
          <w:szCs w:val="21"/>
        </w:rPr>
      </w:pPr>
      <w:r>
        <w:rPr>
          <w:spacing w:val="-17"/>
          <w:sz w:val="21"/>
          <w:szCs w:val="21"/>
        </w:rPr>
        <w:t>采购人：是指依法开展政府采购活动的国家机关、事业单位、团体组织。</w:t>
      </w:r>
      <w:r>
        <w:rPr>
          <w:sz w:val="21"/>
          <w:szCs w:val="21"/>
        </w:rPr>
        <w:t>本项目的采购人见</w:t>
      </w:r>
      <w:r>
        <w:rPr>
          <w:sz w:val="21"/>
          <w:szCs w:val="21"/>
          <w:u w:val="single"/>
        </w:rPr>
        <w:t>供应商须知前附表</w:t>
      </w:r>
      <w:r>
        <w:rPr>
          <w:sz w:val="21"/>
          <w:szCs w:val="21"/>
        </w:rPr>
        <w:t>。</w:t>
      </w:r>
    </w:p>
    <w:p>
      <w:pPr>
        <w:pStyle w:val="33"/>
        <w:numPr>
          <w:ilvl w:val="1"/>
          <w:numId w:val="7"/>
        </w:numPr>
        <w:tabs>
          <w:tab w:val="left" w:pos="1073"/>
        </w:tabs>
        <w:spacing w:before="5" w:line="360" w:lineRule="auto"/>
        <w:ind w:right="253" w:firstLine="434"/>
        <w:jc w:val="both"/>
        <w:rPr>
          <w:sz w:val="21"/>
          <w:szCs w:val="21"/>
        </w:rPr>
      </w:pPr>
      <w:r>
        <w:rPr>
          <w:spacing w:val="-13"/>
          <w:sz w:val="21"/>
          <w:szCs w:val="21"/>
        </w:rPr>
        <w:t>采购代理机构：是指集中采购机构或从事采购代理业务的社会中介机构。</w:t>
      </w:r>
      <w:r>
        <w:rPr>
          <w:sz w:val="21"/>
          <w:szCs w:val="21"/>
        </w:rPr>
        <w:t>本项目的采购代理机构见</w:t>
      </w:r>
      <w:r>
        <w:rPr>
          <w:sz w:val="21"/>
          <w:szCs w:val="21"/>
          <w:u w:val="single"/>
        </w:rPr>
        <w:t>供应商须知前附表</w:t>
      </w:r>
      <w:r>
        <w:rPr>
          <w:sz w:val="21"/>
          <w:szCs w:val="21"/>
        </w:rPr>
        <w:t>。</w:t>
      </w:r>
    </w:p>
    <w:p>
      <w:pPr>
        <w:pStyle w:val="33"/>
        <w:numPr>
          <w:ilvl w:val="1"/>
          <w:numId w:val="7"/>
        </w:numPr>
        <w:tabs>
          <w:tab w:val="left" w:pos="1090"/>
        </w:tabs>
        <w:spacing w:before="5" w:line="360" w:lineRule="auto"/>
        <w:ind w:right="366" w:firstLine="434"/>
        <w:jc w:val="both"/>
        <w:rPr>
          <w:sz w:val="21"/>
          <w:szCs w:val="21"/>
        </w:rPr>
      </w:pPr>
      <w:r>
        <w:rPr>
          <w:spacing w:val="-3"/>
          <w:sz w:val="21"/>
          <w:szCs w:val="21"/>
        </w:rPr>
        <w:t>政府采购监督管理部门：各级人民政府指定的有关部门依法履行与政府</w:t>
      </w:r>
      <w:r>
        <w:rPr>
          <w:sz w:val="21"/>
          <w:szCs w:val="21"/>
        </w:rPr>
        <w:t>采购活动有关的监督管理职责。本项目的政府采购监督管理部门见</w:t>
      </w:r>
      <w:r>
        <w:rPr>
          <w:sz w:val="21"/>
          <w:szCs w:val="21"/>
          <w:u w:val="single"/>
        </w:rPr>
        <w:t>供应商须知前附表</w:t>
      </w:r>
      <w:r>
        <w:rPr>
          <w:sz w:val="21"/>
          <w:szCs w:val="21"/>
        </w:rPr>
        <w:t>。</w:t>
      </w:r>
    </w:p>
    <w:p>
      <w:pPr>
        <w:pStyle w:val="33"/>
        <w:numPr>
          <w:ilvl w:val="1"/>
          <w:numId w:val="7"/>
        </w:numPr>
        <w:tabs>
          <w:tab w:val="left" w:pos="1090"/>
        </w:tabs>
        <w:spacing w:line="360" w:lineRule="auto"/>
        <w:ind w:right="369" w:firstLine="434"/>
        <w:jc w:val="both"/>
        <w:rPr>
          <w:sz w:val="21"/>
          <w:szCs w:val="21"/>
        </w:rPr>
      </w:pPr>
      <w:r>
        <w:rPr>
          <w:spacing w:val="-5"/>
          <w:sz w:val="21"/>
          <w:szCs w:val="21"/>
        </w:rPr>
        <w:t>供应商：是指向采购人提供货物、工程或者服务的法人、非法人组织或</w:t>
      </w:r>
      <w:r>
        <w:rPr>
          <w:spacing w:val="-10"/>
          <w:sz w:val="21"/>
          <w:szCs w:val="21"/>
        </w:rPr>
        <w:t>者自然人。分支机构不得参加政府采购活动，但银行、保险、石油石化、电力、</w:t>
      </w:r>
      <w:r>
        <w:rPr>
          <w:sz w:val="21"/>
          <w:szCs w:val="21"/>
        </w:rPr>
        <w:t>电信等特殊行业除外。本项目的供应商须满足以下条件：</w:t>
      </w:r>
    </w:p>
    <w:p>
      <w:pPr>
        <w:pStyle w:val="33"/>
        <w:numPr>
          <w:ilvl w:val="2"/>
          <w:numId w:val="7"/>
        </w:numPr>
        <w:tabs>
          <w:tab w:val="left" w:pos="1330"/>
        </w:tabs>
        <w:spacing w:line="360" w:lineRule="auto"/>
        <w:ind w:right="369" w:firstLine="434"/>
        <w:jc w:val="both"/>
        <w:rPr>
          <w:sz w:val="21"/>
          <w:szCs w:val="21"/>
        </w:rPr>
      </w:pPr>
      <w:r>
        <w:rPr>
          <w:spacing w:val="-3"/>
          <w:sz w:val="21"/>
          <w:szCs w:val="21"/>
        </w:rPr>
        <w:t>在中华人民共和国境内注册，能够独立承担民事责任，有生产或供应</w:t>
      </w:r>
      <w:r>
        <w:rPr>
          <w:sz w:val="21"/>
          <w:szCs w:val="21"/>
        </w:rPr>
        <w:t>能力的本国供应商。</w:t>
      </w:r>
    </w:p>
    <w:p>
      <w:pPr>
        <w:pStyle w:val="33"/>
        <w:numPr>
          <w:ilvl w:val="2"/>
          <w:numId w:val="7"/>
        </w:numPr>
        <w:tabs>
          <w:tab w:val="left" w:pos="1330"/>
        </w:tabs>
        <w:spacing w:before="2" w:line="360" w:lineRule="auto"/>
        <w:ind w:right="369" w:firstLine="434"/>
        <w:jc w:val="both"/>
        <w:rPr>
          <w:sz w:val="21"/>
          <w:szCs w:val="21"/>
        </w:rPr>
      </w:pPr>
      <w:r>
        <w:rPr>
          <w:spacing w:val="-5"/>
          <w:sz w:val="21"/>
          <w:szCs w:val="21"/>
        </w:rPr>
        <w:t>具备《中华人民共和国政府采购法》第二十二条关于供应商条件的规</w:t>
      </w:r>
      <w:r>
        <w:rPr>
          <w:sz w:val="21"/>
          <w:szCs w:val="21"/>
        </w:rPr>
        <w:t>定，遵守本项目采购人本级和上级财政部门政府采购的有关规定。</w:t>
      </w:r>
    </w:p>
    <w:p>
      <w:pPr>
        <w:pStyle w:val="33"/>
        <w:numPr>
          <w:ilvl w:val="2"/>
          <w:numId w:val="7"/>
        </w:numPr>
        <w:tabs>
          <w:tab w:val="left" w:pos="1330"/>
        </w:tabs>
        <w:spacing w:line="360" w:lineRule="auto"/>
        <w:ind w:left="1329" w:hanging="661"/>
        <w:jc w:val="both"/>
        <w:rPr>
          <w:sz w:val="21"/>
          <w:szCs w:val="21"/>
        </w:rPr>
      </w:pPr>
      <w:r>
        <w:rPr>
          <w:sz w:val="21"/>
          <w:szCs w:val="21"/>
        </w:rPr>
        <w:t>以采购代理机构认可的方式获得了本项目的竞争性磋商文件。</w:t>
      </w:r>
    </w:p>
    <w:p>
      <w:pPr>
        <w:pStyle w:val="33"/>
        <w:numPr>
          <w:ilvl w:val="2"/>
          <w:numId w:val="7"/>
        </w:numPr>
        <w:tabs>
          <w:tab w:val="left" w:pos="1330"/>
        </w:tabs>
        <w:spacing w:before="161" w:line="360" w:lineRule="auto"/>
        <w:ind w:left="1329" w:hanging="661"/>
        <w:jc w:val="both"/>
        <w:rPr>
          <w:sz w:val="21"/>
          <w:szCs w:val="21"/>
        </w:rPr>
      </w:pPr>
      <w:r>
        <w:rPr>
          <w:sz w:val="21"/>
          <w:szCs w:val="21"/>
        </w:rPr>
        <w:t>若</w:t>
      </w:r>
      <w:r>
        <w:rPr>
          <w:sz w:val="21"/>
          <w:szCs w:val="21"/>
          <w:u w:val="single"/>
        </w:rPr>
        <w:t>供应商须知前附表</w:t>
      </w:r>
      <w:r>
        <w:rPr>
          <w:spacing w:val="-2"/>
          <w:sz w:val="21"/>
          <w:szCs w:val="21"/>
        </w:rPr>
        <w:t>中写明专门面向中小企业采购的，如供应商为非</w:t>
      </w:r>
    </w:p>
    <w:p>
      <w:pPr>
        <w:pStyle w:val="9"/>
        <w:spacing w:before="56" w:line="360" w:lineRule="auto"/>
        <w:ind w:left="234"/>
        <w:rPr>
          <w:sz w:val="21"/>
          <w:szCs w:val="21"/>
        </w:rPr>
      </w:pPr>
      <w:r>
        <w:rPr>
          <w:sz w:val="21"/>
          <w:szCs w:val="21"/>
        </w:rPr>
        <w:t>中小企业，其响应文件将被认定为</w:t>
      </w:r>
      <w:r>
        <w:rPr>
          <w:b/>
          <w:sz w:val="21"/>
          <w:szCs w:val="21"/>
        </w:rPr>
        <w:t>响应无效</w:t>
      </w:r>
      <w:r>
        <w:rPr>
          <w:sz w:val="21"/>
          <w:szCs w:val="21"/>
        </w:rPr>
        <w:t>。</w:t>
      </w:r>
    </w:p>
    <w:p>
      <w:pPr>
        <w:pStyle w:val="33"/>
        <w:numPr>
          <w:ilvl w:val="1"/>
          <w:numId w:val="7"/>
        </w:numPr>
        <w:tabs>
          <w:tab w:val="left" w:pos="1090"/>
        </w:tabs>
        <w:spacing w:before="160" w:line="360" w:lineRule="auto"/>
        <w:ind w:left="1089" w:hanging="421"/>
        <w:jc w:val="both"/>
        <w:rPr>
          <w:sz w:val="21"/>
          <w:szCs w:val="21"/>
        </w:rPr>
      </w:pPr>
      <w:r>
        <w:rPr>
          <w:sz w:val="21"/>
          <w:szCs w:val="21"/>
        </w:rPr>
        <w:t>若</w:t>
      </w:r>
      <w:r>
        <w:rPr>
          <w:sz w:val="21"/>
          <w:szCs w:val="21"/>
          <w:u w:val="single"/>
        </w:rPr>
        <w:t>供应商须知前附表</w:t>
      </w:r>
      <w:r>
        <w:rPr>
          <w:sz w:val="21"/>
          <w:szCs w:val="21"/>
        </w:rPr>
        <w:t>中允许联合体参加竞争性磋商，对联合体规定如下：</w:t>
      </w:r>
    </w:p>
    <w:p>
      <w:pPr>
        <w:pStyle w:val="33"/>
        <w:numPr>
          <w:ilvl w:val="2"/>
          <w:numId w:val="7"/>
        </w:numPr>
        <w:tabs>
          <w:tab w:val="left" w:pos="1313"/>
        </w:tabs>
        <w:spacing w:before="159" w:line="360" w:lineRule="auto"/>
        <w:ind w:left="1312" w:hanging="644"/>
        <w:jc w:val="both"/>
        <w:rPr>
          <w:sz w:val="21"/>
          <w:szCs w:val="21"/>
        </w:rPr>
      </w:pPr>
      <w:r>
        <w:rPr>
          <w:spacing w:val="-7"/>
          <w:sz w:val="21"/>
          <w:szCs w:val="21"/>
        </w:rPr>
        <w:t>两个以上供应商可以组成一个竞争性磋商联合体，以一个供应商的身份竞争性磋商。</w:t>
      </w:r>
    </w:p>
    <w:p>
      <w:pPr>
        <w:pStyle w:val="33"/>
        <w:numPr>
          <w:ilvl w:val="2"/>
          <w:numId w:val="7"/>
        </w:numPr>
        <w:tabs>
          <w:tab w:val="left" w:pos="1330"/>
        </w:tabs>
        <w:spacing w:before="160" w:line="360" w:lineRule="auto"/>
        <w:ind w:right="369" w:firstLine="434"/>
        <w:jc w:val="both"/>
        <w:rPr>
          <w:sz w:val="21"/>
          <w:szCs w:val="21"/>
        </w:rPr>
      </w:pPr>
      <w:r>
        <w:rPr>
          <w:spacing w:val="-3"/>
          <w:sz w:val="21"/>
          <w:szCs w:val="21"/>
        </w:rPr>
        <w:t>联合体各方均应符合《中华人民共和国政府采购法》第二十二条规定</w:t>
      </w:r>
      <w:r>
        <w:rPr>
          <w:sz w:val="21"/>
          <w:szCs w:val="21"/>
        </w:rPr>
        <w:t>的条件。</w:t>
      </w:r>
    </w:p>
    <w:p>
      <w:pPr>
        <w:pStyle w:val="33"/>
        <w:numPr>
          <w:ilvl w:val="2"/>
          <w:numId w:val="7"/>
        </w:numPr>
        <w:tabs>
          <w:tab w:val="left" w:pos="1330"/>
        </w:tabs>
        <w:spacing w:before="5" w:line="360" w:lineRule="auto"/>
        <w:ind w:right="371" w:firstLine="434"/>
        <w:jc w:val="both"/>
        <w:rPr>
          <w:sz w:val="21"/>
          <w:szCs w:val="21"/>
        </w:rPr>
      </w:pPr>
      <w:r>
        <w:rPr>
          <w:spacing w:val="-2"/>
          <w:sz w:val="21"/>
          <w:szCs w:val="21"/>
        </w:rPr>
        <w:t>采购人根据采购项目对供应商的特殊要求，联合体中至少应当有一方</w:t>
      </w:r>
      <w:r>
        <w:rPr>
          <w:sz w:val="21"/>
          <w:szCs w:val="21"/>
        </w:rPr>
        <w:t>符合相关规定。</w:t>
      </w:r>
    </w:p>
    <w:p>
      <w:pPr>
        <w:pStyle w:val="33"/>
        <w:numPr>
          <w:ilvl w:val="2"/>
          <w:numId w:val="7"/>
        </w:numPr>
        <w:tabs>
          <w:tab w:val="left" w:pos="1330"/>
        </w:tabs>
        <w:spacing w:before="6" w:line="360" w:lineRule="auto"/>
        <w:ind w:right="371" w:firstLine="434"/>
        <w:jc w:val="both"/>
        <w:rPr>
          <w:sz w:val="21"/>
          <w:szCs w:val="21"/>
        </w:rPr>
      </w:pPr>
      <w:r>
        <w:rPr>
          <w:spacing w:val="-3"/>
          <w:sz w:val="21"/>
          <w:szCs w:val="21"/>
        </w:rPr>
        <w:t>联合体各方应签订联合体协议，明确约定联合体各方承担的工作和相</w:t>
      </w:r>
      <w:r>
        <w:rPr>
          <w:sz w:val="21"/>
          <w:szCs w:val="21"/>
        </w:rPr>
        <w:t>应的责任，并将联合体协议作为响应文件的一部分提交。</w:t>
      </w:r>
    </w:p>
    <w:p>
      <w:pPr>
        <w:pStyle w:val="33"/>
        <w:numPr>
          <w:ilvl w:val="2"/>
          <w:numId w:val="7"/>
        </w:numPr>
        <w:tabs>
          <w:tab w:val="left" w:pos="1330"/>
        </w:tabs>
        <w:spacing w:before="4" w:line="360" w:lineRule="auto"/>
        <w:ind w:right="369" w:firstLine="434"/>
        <w:jc w:val="both"/>
        <w:rPr>
          <w:sz w:val="21"/>
          <w:szCs w:val="21"/>
        </w:rPr>
      </w:pPr>
      <w:r>
        <w:rPr>
          <w:spacing w:val="-4"/>
          <w:sz w:val="21"/>
          <w:szCs w:val="21"/>
        </w:rPr>
        <w:t>大中型企业、其他自然人、法人或者非法人组织与小型、微型企业组</w:t>
      </w:r>
      <w:r>
        <w:rPr>
          <w:sz w:val="21"/>
          <w:szCs w:val="21"/>
        </w:rPr>
        <w:t>成联合体共同参加竞争性磋商，联合体协议中应写明小型、微型企业的协议合同金额占到联合体协议合同总金额的比例。</w:t>
      </w:r>
    </w:p>
    <w:p>
      <w:pPr>
        <w:pStyle w:val="33"/>
        <w:numPr>
          <w:ilvl w:val="2"/>
          <w:numId w:val="7"/>
        </w:numPr>
        <w:tabs>
          <w:tab w:val="left" w:pos="1330"/>
        </w:tabs>
        <w:spacing w:line="360" w:lineRule="auto"/>
        <w:ind w:right="370" w:firstLine="434"/>
        <w:jc w:val="both"/>
        <w:rPr>
          <w:sz w:val="21"/>
          <w:szCs w:val="21"/>
        </w:rPr>
      </w:pPr>
      <w:r>
        <w:rPr>
          <w:spacing w:val="-2"/>
          <w:sz w:val="21"/>
          <w:szCs w:val="21"/>
        </w:rPr>
        <w:t>联合体中有同类资质的供应商按照联合体分工承担相同工作的，应当</w:t>
      </w:r>
      <w:r>
        <w:rPr>
          <w:sz w:val="21"/>
          <w:szCs w:val="21"/>
        </w:rPr>
        <w:t>按照资质等级较低的供应商确定资质等级。</w:t>
      </w:r>
    </w:p>
    <w:p>
      <w:pPr>
        <w:pStyle w:val="33"/>
        <w:numPr>
          <w:ilvl w:val="2"/>
          <w:numId w:val="7"/>
        </w:numPr>
        <w:tabs>
          <w:tab w:val="left" w:pos="1330"/>
        </w:tabs>
        <w:spacing w:line="360" w:lineRule="auto"/>
        <w:ind w:right="368" w:firstLine="434"/>
        <w:jc w:val="both"/>
        <w:rPr>
          <w:sz w:val="21"/>
          <w:szCs w:val="21"/>
        </w:rPr>
      </w:pPr>
      <w:r>
        <w:rPr>
          <w:spacing w:val="-3"/>
          <w:sz w:val="21"/>
          <w:szCs w:val="21"/>
        </w:rPr>
        <w:t>以联合体形式参加政府采购活动的，联合体各方不得再单独参加或者</w:t>
      </w:r>
      <w:r>
        <w:rPr>
          <w:sz w:val="21"/>
          <w:szCs w:val="21"/>
        </w:rPr>
        <w:t>与其他供应商另外组成联合体参加本项目竞争性磋商，否则相关响应文件将被认定为</w:t>
      </w:r>
      <w:r>
        <w:rPr>
          <w:b/>
          <w:sz w:val="21"/>
          <w:szCs w:val="21"/>
        </w:rPr>
        <w:t>响应无效</w:t>
      </w:r>
      <w:r>
        <w:rPr>
          <w:sz w:val="21"/>
          <w:szCs w:val="21"/>
        </w:rPr>
        <w:t>。</w:t>
      </w:r>
    </w:p>
    <w:p>
      <w:pPr>
        <w:pStyle w:val="33"/>
        <w:numPr>
          <w:ilvl w:val="2"/>
          <w:numId w:val="7"/>
        </w:numPr>
        <w:tabs>
          <w:tab w:val="left" w:pos="1330"/>
        </w:tabs>
        <w:spacing w:line="360" w:lineRule="auto"/>
        <w:ind w:left="1329" w:hanging="661"/>
        <w:jc w:val="both"/>
        <w:rPr>
          <w:sz w:val="21"/>
          <w:szCs w:val="21"/>
        </w:rPr>
      </w:pPr>
      <w:r>
        <w:rPr>
          <w:sz w:val="21"/>
          <w:szCs w:val="21"/>
        </w:rPr>
        <w:t>对联合体参加竞争性磋商的其他资格要求见供应商资格。</w:t>
      </w:r>
    </w:p>
    <w:p>
      <w:pPr>
        <w:pStyle w:val="33"/>
        <w:numPr>
          <w:ilvl w:val="1"/>
          <w:numId w:val="7"/>
        </w:numPr>
        <w:tabs>
          <w:tab w:val="left" w:pos="1090"/>
        </w:tabs>
        <w:spacing w:before="160" w:line="360" w:lineRule="auto"/>
        <w:ind w:right="245" w:firstLine="434"/>
        <w:jc w:val="both"/>
        <w:rPr>
          <w:sz w:val="21"/>
          <w:szCs w:val="21"/>
        </w:rPr>
      </w:pPr>
      <w:r>
        <w:rPr>
          <w:spacing w:val="-2"/>
          <w:sz w:val="21"/>
          <w:szCs w:val="21"/>
        </w:rPr>
        <w:t>单位负责人为同一人或者存在直接控股、管理关系的不同供应商，不得</w:t>
      </w:r>
      <w:r>
        <w:rPr>
          <w:spacing w:val="-3"/>
          <w:sz w:val="21"/>
          <w:szCs w:val="21"/>
        </w:rPr>
        <w:t>参加同一合同项下的政府采购活动。否则其相关响应文件将被认定为</w:t>
      </w:r>
      <w:r>
        <w:rPr>
          <w:b/>
          <w:sz w:val="21"/>
          <w:szCs w:val="21"/>
        </w:rPr>
        <w:t>响应无效</w:t>
      </w:r>
      <w:r>
        <w:rPr>
          <w:spacing w:val="-14"/>
          <w:sz w:val="21"/>
          <w:szCs w:val="21"/>
        </w:rPr>
        <w:t>。</w:t>
      </w:r>
    </w:p>
    <w:p>
      <w:pPr>
        <w:pStyle w:val="33"/>
        <w:numPr>
          <w:ilvl w:val="1"/>
          <w:numId w:val="7"/>
        </w:numPr>
        <w:tabs>
          <w:tab w:val="left" w:pos="1090"/>
        </w:tabs>
        <w:spacing w:before="5" w:line="360" w:lineRule="auto"/>
        <w:ind w:right="360" w:firstLine="434"/>
        <w:jc w:val="both"/>
        <w:rPr>
          <w:sz w:val="21"/>
          <w:szCs w:val="21"/>
        </w:rPr>
      </w:pPr>
      <w:r>
        <w:rPr>
          <w:spacing w:val="-3"/>
          <w:sz w:val="21"/>
          <w:szCs w:val="21"/>
        </w:rPr>
        <w:t>为本项目提供过整体设计、规范编制或者项目管理、监理、检测等服务</w:t>
      </w:r>
      <w:r>
        <w:rPr>
          <w:sz w:val="21"/>
          <w:szCs w:val="21"/>
        </w:rPr>
        <w:t>的供应商，不得再参加本项目上述服务以外的其他采购活动。否则其响应文件将被认定为</w:t>
      </w:r>
      <w:r>
        <w:rPr>
          <w:b/>
          <w:sz w:val="21"/>
          <w:szCs w:val="21"/>
        </w:rPr>
        <w:t>响应无效</w:t>
      </w:r>
      <w:r>
        <w:rPr>
          <w:sz w:val="21"/>
          <w:szCs w:val="21"/>
        </w:rPr>
        <w:t>。</w:t>
      </w:r>
    </w:p>
    <w:p>
      <w:pPr>
        <w:pStyle w:val="6"/>
        <w:numPr>
          <w:ilvl w:val="0"/>
          <w:numId w:val="7"/>
        </w:numPr>
        <w:jc w:val="left"/>
        <w:rPr>
          <w:sz w:val="22"/>
        </w:rPr>
      </w:pPr>
      <w:r>
        <w:rPr>
          <w:sz w:val="22"/>
        </w:rPr>
        <w:t>资金来源</w:t>
      </w:r>
    </w:p>
    <w:p>
      <w:pPr>
        <w:pStyle w:val="33"/>
        <w:numPr>
          <w:ilvl w:val="1"/>
          <w:numId w:val="7"/>
        </w:numPr>
        <w:tabs>
          <w:tab w:val="left" w:pos="1097"/>
        </w:tabs>
        <w:spacing w:before="161" w:line="360" w:lineRule="auto"/>
        <w:ind w:left="1096" w:hanging="428"/>
        <w:rPr>
          <w:sz w:val="21"/>
          <w:szCs w:val="21"/>
        </w:rPr>
      </w:pPr>
      <w:r>
        <w:rPr>
          <w:sz w:val="21"/>
          <w:szCs w:val="21"/>
        </w:rPr>
        <w:t>本项目的采购人已获得足以支付本次竞争性磋商后所签订的合同项下的资金。</w:t>
      </w:r>
    </w:p>
    <w:p>
      <w:pPr>
        <w:pStyle w:val="33"/>
        <w:tabs>
          <w:tab w:val="left" w:pos="1090"/>
        </w:tabs>
        <w:spacing w:before="158" w:line="360" w:lineRule="auto"/>
        <w:ind w:left="671" w:right="714" w:firstLine="0"/>
        <w:rPr>
          <w:b/>
          <w:sz w:val="21"/>
          <w:szCs w:val="21"/>
        </w:rPr>
      </w:pPr>
      <w:r>
        <w:rPr>
          <w:rFonts w:hint="eastAsia"/>
          <w:sz w:val="21"/>
          <w:szCs w:val="21"/>
        </w:rPr>
        <w:t xml:space="preserve">4.2 </w:t>
      </w:r>
      <w:r>
        <w:rPr>
          <w:sz w:val="21"/>
          <w:szCs w:val="21"/>
        </w:rPr>
        <w:t>项目预算金额或分项（或分包）预算金额见竞争性磋商公告（竞争性磋商邀请）。</w:t>
      </w:r>
    </w:p>
    <w:p>
      <w:pPr>
        <w:pStyle w:val="33"/>
        <w:tabs>
          <w:tab w:val="left" w:pos="1090"/>
        </w:tabs>
        <w:spacing w:before="158" w:line="360" w:lineRule="auto"/>
        <w:ind w:left="671" w:right="714" w:firstLine="0"/>
        <w:rPr>
          <w:b/>
          <w:sz w:val="21"/>
          <w:szCs w:val="21"/>
        </w:rPr>
      </w:pPr>
      <w:r>
        <w:rPr>
          <w:b/>
          <w:sz w:val="21"/>
          <w:szCs w:val="21"/>
        </w:rPr>
        <w:t>5.竞争性磋商费用</w:t>
      </w:r>
    </w:p>
    <w:p>
      <w:pPr>
        <w:pStyle w:val="9"/>
        <w:spacing w:before="1" w:line="360" w:lineRule="auto"/>
        <w:ind w:left="671" w:right="256"/>
        <w:rPr>
          <w:sz w:val="21"/>
          <w:szCs w:val="21"/>
        </w:rPr>
      </w:pPr>
      <w:r>
        <w:rPr>
          <w:sz w:val="21"/>
          <w:szCs w:val="21"/>
        </w:rPr>
        <w:t>不论竞争性磋商的结果如何，供应商应承担其所有与准备和参加竞争性磋商有关的费用。</w:t>
      </w:r>
    </w:p>
    <w:p>
      <w:pPr>
        <w:pStyle w:val="9"/>
        <w:spacing w:before="1" w:line="360" w:lineRule="auto"/>
        <w:ind w:left="671" w:right="256"/>
        <w:rPr>
          <w:b/>
          <w:sz w:val="21"/>
          <w:szCs w:val="21"/>
        </w:rPr>
      </w:pPr>
      <w:r>
        <w:rPr>
          <w:b/>
          <w:sz w:val="21"/>
          <w:szCs w:val="21"/>
        </w:rPr>
        <w:t>6.适用法律</w:t>
      </w:r>
    </w:p>
    <w:p>
      <w:pPr>
        <w:pStyle w:val="9"/>
        <w:spacing w:before="5" w:line="360" w:lineRule="auto"/>
        <w:ind w:left="670" w:leftChars="319" w:right="94" w:rightChars="45" w:firstLine="420" w:firstLineChars="200"/>
        <w:rPr>
          <w:sz w:val="21"/>
          <w:szCs w:val="21"/>
        </w:rPr>
      </w:pPr>
      <w:r>
        <w:rPr>
          <w:sz w:val="21"/>
          <w:szCs w:val="21"/>
        </w:rPr>
        <w:t>本项目采购人、采购代理机构、供应商、竞争性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6"/>
        <w:numPr>
          <w:ilvl w:val="0"/>
          <w:numId w:val="8"/>
        </w:numPr>
        <w:jc w:val="left"/>
        <w:rPr>
          <w:sz w:val="22"/>
          <w:lang w:val="zh-CN" w:bidi="zh-CN"/>
        </w:rPr>
      </w:pPr>
      <w:r>
        <w:rPr>
          <w:sz w:val="22"/>
          <w:lang w:val="zh-CN" w:bidi="zh-CN"/>
        </w:rPr>
        <w:t>竞争性磋商文件构成</w:t>
      </w:r>
    </w:p>
    <w:p>
      <w:pPr>
        <w:pStyle w:val="33"/>
        <w:numPr>
          <w:ilvl w:val="1"/>
          <w:numId w:val="8"/>
        </w:numPr>
        <w:tabs>
          <w:tab w:val="left" w:pos="1090"/>
        </w:tabs>
        <w:spacing w:line="360" w:lineRule="auto"/>
        <w:rPr>
          <w:sz w:val="21"/>
          <w:szCs w:val="21"/>
        </w:rPr>
      </w:pPr>
      <w:r>
        <w:rPr>
          <w:sz w:val="21"/>
          <w:szCs w:val="21"/>
        </w:rPr>
        <w:t>竞争性磋商文件包括下列内容：</w:t>
      </w:r>
    </w:p>
    <w:p>
      <w:pPr>
        <w:pStyle w:val="9"/>
        <w:tabs>
          <w:tab w:val="left" w:pos="2034"/>
        </w:tabs>
        <w:spacing w:before="120" w:line="360" w:lineRule="auto"/>
        <w:ind w:left="1072"/>
        <w:rPr>
          <w:sz w:val="21"/>
          <w:szCs w:val="21"/>
        </w:rPr>
      </w:pPr>
      <w:r>
        <w:rPr>
          <w:sz w:val="21"/>
          <w:szCs w:val="21"/>
        </w:rPr>
        <w:t>第一章</w:t>
      </w:r>
      <w:r>
        <w:rPr>
          <w:sz w:val="21"/>
          <w:szCs w:val="21"/>
        </w:rPr>
        <w:tab/>
      </w:r>
      <w:r>
        <w:rPr>
          <w:rFonts w:hint="eastAsia"/>
          <w:b/>
          <w:sz w:val="21"/>
          <w:szCs w:val="21"/>
        </w:rPr>
        <w:t>竞争性磋商</w:t>
      </w:r>
      <w:r>
        <w:rPr>
          <w:rFonts w:hint="eastAsia"/>
          <w:sz w:val="21"/>
          <w:szCs w:val="21"/>
        </w:rPr>
        <w:t>公告</w:t>
      </w:r>
    </w:p>
    <w:p>
      <w:pPr>
        <w:pStyle w:val="9"/>
        <w:tabs>
          <w:tab w:val="left" w:pos="2034"/>
        </w:tabs>
        <w:spacing w:before="161" w:line="360" w:lineRule="auto"/>
        <w:ind w:left="1074" w:right="4449"/>
        <w:rPr>
          <w:sz w:val="21"/>
          <w:szCs w:val="21"/>
        </w:rPr>
      </w:pPr>
      <w:r>
        <w:rPr>
          <w:sz w:val="21"/>
          <w:szCs w:val="21"/>
        </w:rPr>
        <w:t>第二章</w:t>
      </w:r>
      <w:r>
        <w:rPr>
          <w:sz w:val="21"/>
          <w:szCs w:val="21"/>
        </w:rPr>
        <w:tab/>
      </w:r>
      <w:r>
        <w:rPr>
          <w:sz w:val="21"/>
          <w:szCs w:val="21"/>
        </w:rPr>
        <w:t>供应商须知</w:t>
      </w:r>
    </w:p>
    <w:p>
      <w:pPr>
        <w:pStyle w:val="9"/>
        <w:tabs>
          <w:tab w:val="left" w:pos="2034"/>
        </w:tabs>
        <w:spacing w:before="5" w:line="360" w:lineRule="auto"/>
        <w:ind w:left="1074"/>
        <w:rPr>
          <w:sz w:val="21"/>
          <w:szCs w:val="21"/>
        </w:rPr>
      </w:pPr>
      <w:r>
        <w:rPr>
          <w:sz w:val="21"/>
          <w:szCs w:val="21"/>
        </w:rPr>
        <w:t>第三章</w:t>
      </w:r>
      <w:r>
        <w:rPr>
          <w:sz w:val="21"/>
          <w:szCs w:val="21"/>
        </w:rPr>
        <w:tab/>
      </w:r>
      <w:r>
        <w:rPr>
          <w:sz w:val="21"/>
          <w:szCs w:val="21"/>
        </w:rPr>
        <w:t>采购需求</w:t>
      </w:r>
    </w:p>
    <w:p>
      <w:pPr>
        <w:pStyle w:val="9"/>
        <w:tabs>
          <w:tab w:val="left" w:pos="2034"/>
        </w:tabs>
        <w:spacing w:before="158" w:line="360" w:lineRule="auto"/>
        <w:ind w:left="1074" w:right="5169"/>
        <w:rPr>
          <w:spacing w:val="-17"/>
          <w:sz w:val="21"/>
          <w:szCs w:val="21"/>
        </w:rPr>
      </w:pPr>
      <w:r>
        <w:rPr>
          <w:sz w:val="21"/>
          <w:szCs w:val="21"/>
        </w:rPr>
        <w:t>第四章</w:t>
      </w:r>
      <w:r>
        <w:rPr>
          <w:sz w:val="21"/>
          <w:szCs w:val="21"/>
        </w:rPr>
        <w:tab/>
      </w:r>
      <w:r>
        <w:rPr>
          <w:sz w:val="21"/>
          <w:szCs w:val="21"/>
        </w:rPr>
        <w:t>评审方法和标</w:t>
      </w:r>
      <w:r>
        <w:rPr>
          <w:spacing w:val="-17"/>
          <w:sz w:val="21"/>
          <w:szCs w:val="21"/>
        </w:rPr>
        <w:t>准</w:t>
      </w:r>
    </w:p>
    <w:p>
      <w:pPr>
        <w:pStyle w:val="9"/>
        <w:tabs>
          <w:tab w:val="left" w:pos="2034"/>
        </w:tabs>
        <w:spacing w:before="158" w:line="360" w:lineRule="auto"/>
        <w:ind w:left="1074" w:right="5169"/>
        <w:rPr>
          <w:sz w:val="21"/>
          <w:szCs w:val="21"/>
        </w:rPr>
      </w:pPr>
      <w:r>
        <w:rPr>
          <w:sz w:val="21"/>
          <w:szCs w:val="21"/>
        </w:rPr>
        <w:t>第五章</w:t>
      </w:r>
      <w:r>
        <w:rPr>
          <w:sz w:val="21"/>
          <w:szCs w:val="21"/>
        </w:rPr>
        <w:tab/>
      </w:r>
      <w:r>
        <w:rPr>
          <w:sz w:val="21"/>
          <w:szCs w:val="21"/>
        </w:rPr>
        <w:t>政府采购合同</w:t>
      </w:r>
    </w:p>
    <w:p>
      <w:pPr>
        <w:pStyle w:val="9"/>
        <w:tabs>
          <w:tab w:val="left" w:pos="2034"/>
        </w:tabs>
        <w:spacing w:before="158" w:line="360" w:lineRule="auto"/>
        <w:ind w:left="1074" w:right="5169"/>
        <w:rPr>
          <w:sz w:val="21"/>
          <w:szCs w:val="21"/>
        </w:rPr>
      </w:pPr>
      <w:r>
        <w:rPr>
          <w:sz w:val="21"/>
          <w:szCs w:val="21"/>
        </w:rPr>
        <w:t xml:space="preserve"> 第六章</w:t>
      </w:r>
      <w:r>
        <w:rPr>
          <w:sz w:val="21"/>
          <w:szCs w:val="21"/>
        </w:rPr>
        <w:tab/>
      </w:r>
      <w:r>
        <w:rPr>
          <w:sz w:val="21"/>
          <w:szCs w:val="21"/>
        </w:rPr>
        <w:t>响应文件格式</w:t>
      </w:r>
    </w:p>
    <w:p>
      <w:pPr>
        <w:pStyle w:val="33"/>
        <w:numPr>
          <w:ilvl w:val="1"/>
          <w:numId w:val="8"/>
        </w:numPr>
        <w:tabs>
          <w:tab w:val="left" w:pos="1090"/>
        </w:tabs>
        <w:spacing w:line="360" w:lineRule="auto"/>
        <w:ind w:hanging="421"/>
        <w:rPr>
          <w:sz w:val="21"/>
          <w:szCs w:val="21"/>
        </w:rPr>
      </w:pPr>
      <w:r>
        <w:rPr>
          <w:sz w:val="21"/>
          <w:szCs w:val="21"/>
        </w:rPr>
        <w:t>竞争性磋商文件中有不一致的，有澄清的部分以最终的澄清更正内容为准。</w:t>
      </w:r>
    </w:p>
    <w:p>
      <w:pPr>
        <w:pStyle w:val="33"/>
        <w:numPr>
          <w:ilvl w:val="1"/>
          <w:numId w:val="8"/>
        </w:numPr>
        <w:tabs>
          <w:tab w:val="left" w:pos="1090"/>
        </w:tabs>
        <w:spacing w:before="160" w:line="360" w:lineRule="auto"/>
        <w:ind w:hanging="421"/>
        <w:jc w:val="both"/>
        <w:rPr>
          <w:spacing w:val="-1"/>
          <w:sz w:val="21"/>
          <w:szCs w:val="21"/>
        </w:rPr>
      </w:pPr>
      <w:r>
        <w:rPr>
          <w:sz w:val="21"/>
          <w:szCs w:val="21"/>
          <w:lang w:val="en-US" w:bidi="ar-SA"/>
        </w:rPr>
        <mc:AlternateContent>
          <mc:Choice Requires="wps">
            <w:drawing>
              <wp:anchor distT="0" distB="0" distL="114300" distR="114300" simplePos="0" relativeHeight="251659264" behindDoc="0" locked="0" layoutInCell="1" allowOverlap="1">
                <wp:simplePos x="0" y="0"/>
                <wp:positionH relativeFrom="page">
                  <wp:posOffset>3219450</wp:posOffset>
                </wp:positionH>
                <wp:positionV relativeFrom="paragraph">
                  <wp:posOffset>278765</wp:posOffset>
                </wp:positionV>
                <wp:extent cx="12192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253.5pt;margin-top:21.95pt;height:0pt;width:96pt;mso-position-horizontal-relative:page;z-index:251659264;mso-width-relative:page;mso-height-relative:page;" filled="f" stroked="t" coordsize="21600,21600" o:gfxdata="UEsDBAoAAAAAAIdO4kAAAAAAAAAAAAAAAAAEAAAAZHJzL1BLAwQUAAAACACHTuJA9JAcX9cAAAAJ&#10;AQAADwAAAGRycy9kb3ducmV2LnhtbE2PwU7DMBBE70j8g7VI3KjdAmkT4lSCwpFWtFXPbrLEEfE6&#10;it2k8PUs4gDHnR3NvMmXZ9eKAfvQeNIwnSgQSKWvGqo17HcvNwsQIRqqTOsJNXxigGVxeZGbrPIj&#10;veGwjbXgEAqZ0WBj7DIpQ2nRmTDxHRL/3n3vTOSzr2XVm5HDXStnSiXSmYa4wZoOnyyWH9uT0/CV&#10;jHYln9fzjT3Ix8XmdTfMcKX19dVUPYCIeI5/ZvjBZ3QomOnoT1QF0Wq4V3PeEjXc3aYg2JCkKQvH&#10;X0EWufy/oPgGUEsDBBQAAAAIAIdO4kCf+CUj7gEAAMMDAAAOAAAAZHJzL2Uyb0RvYy54bWytU8Fu&#10;EzEQvSPxD5bvZJOoKrDKpodE5VKgUssHTLzerIXXY3mcbPIT/AASNzhx5M7ftHwGY28SSrn0wB4s&#10;j2fmzbw3s7OLXWfFVgcy6Co5GY2l0E5hbdy6kh9uL1+8koIiuBosOl3JvSZ5MX/+bNb7Uk+xRVvr&#10;IBjEUdn7SrYx+rIoSLW6Axqh146dDYYOIpthXdQBekbvbDEdj8+LHkPtAypNxK/LwSkPiOEpgNg0&#10;Ruklqk2nXRxQg7YQmRK1xpOc526bRqv4vmlIR2EryUxjPrkI31fpLOYzKNcBfGvUoQV4SguPOHVg&#10;HBc9QS0hgtgE8w9UZ1RAwiaOFHbFQCQrwiwm40fa3LTgdebCUpM/iU7/D1a9214HYepKnknhoOOB&#10;33/+cffp66+fX/i8//5NnCWRek8lxy7cdUg01c7d+CtUH0k4XLTg1jo3e7v3jDBJGcVfKckgz6VW&#10;/VusOQY2EbNiuyZ0CZK1ELs8mP1pMHoXheLHyXTymndHCnX0FVAeE32g+EZjJ9Klkta4pBmUsL2i&#10;mBqB8hiSnh1eGmvz3K0TfSVfnk/HOYHQmjo5UxiF9Wphg9hC2pz8ZVbseRiWkJdA7RCXXcNOBdy4&#10;eqhu3UGNJMAg5Qrr/XU4qsSzzW0e9jAtz0M7Z//5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QHF/XAAAACQEAAA8AAAAAAAAAAQAgAAAAIgAAAGRycy9kb3ducmV2LnhtbFBLAQIUABQAAAAI&#10;AIdO4kCf+CUj7gEAAMMDAAAOAAAAAAAAAAEAIAAAACYBAABkcnMvZTJvRG9jLnhtbFBLBQYAAAAA&#10;BgAGAFkBAACGBQAAAAA=&#10;">
                <v:fill on="f" focussize="0,0"/>
                <v:stroke weight="0.6pt" color="#000000" joinstyle="round"/>
                <v:imagedata o:title=""/>
                <o:lock v:ext="edit" aspectratio="f"/>
              </v:line>
            </w:pict>
          </mc:Fallback>
        </mc:AlternateContent>
      </w:r>
      <w:r>
        <w:rPr>
          <w:sz w:val="21"/>
          <w:szCs w:val="21"/>
        </w:rPr>
        <w:t>现场考察及相关事项见供应商须知前附表。</w:t>
      </w:r>
    </w:p>
    <w:p>
      <w:pPr>
        <w:pStyle w:val="33"/>
        <w:tabs>
          <w:tab w:val="left" w:pos="1090"/>
        </w:tabs>
        <w:spacing w:before="160" w:line="360" w:lineRule="auto"/>
        <w:ind w:left="668" w:firstLine="0"/>
        <w:jc w:val="both"/>
        <w:rPr>
          <w:spacing w:val="-1"/>
          <w:sz w:val="21"/>
          <w:szCs w:val="21"/>
        </w:rPr>
      </w:pPr>
      <w:r>
        <w:rPr>
          <w:rFonts w:hint="eastAsia"/>
          <w:spacing w:val="-1"/>
          <w:sz w:val="21"/>
          <w:szCs w:val="21"/>
        </w:rPr>
        <w:t xml:space="preserve">7.4 </w:t>
      </w:r>
      <w:r>
        <w:rPr>
          <w:spacing w:val="-1"/>
          <w:sz w:val="21"/>
          <w:szCs w:val="21"/>
        </w:rPr>
        <w:t>供应商应认真阅读竞争性磋商文件所有的事项、格式、条款和技术规范等。</w:t>
      </w:r>
    </w:p>
    <w:p>
      <w:pPr>
        <w:pStyle w:val="33"/>
        <w:tabs>
          <w:tab w:val="left" w:pos="1090"/>
        </w:tabs>
        <w:spacing w:before="158" w:line="360" w:lineRule="auto"/>
        <w:ind w:left="671" w:right="594" w:firstLine="0"/>
        <w:rPr>
          <w:b/>
          <w:sz w:val="21"/>
          <w:szCs w:val="21"/>
        </w:rPr>
      </w:pPr>
      <w:r>
        <w:rPr>
          <w:b/>
          <w:sz w:val="21"/>
          <w:szCs w:val="21"/>
        </w:rPr>
        <w:t>8.竞争性磋商文件的澄清与修改</w:t>
      </w:r>
    </w:p>
    <w:p>
      <w:pPr>
        <w:tabs>
          <w:tab w:val="left" w:pos="1430"/>
        </w:tabs>
        <w:spacing w:line="360" w:lineRule="auto"/>
        <w:ind w:right="794" w:firstLine="624" w:firstLineChars="300"/>
        <w:rPr>
          <w:rFonts w:ascii="宋体" w:hAnsi="宋体"/>
          <w:spacing w:val="-1"/>
        </w:rPr>
      </w:pPr>
      <w:r>
        <w:rPr>
          <w:rFonts w:hint="eastAsia" w:ascii="宋体" w:hAnsi="宋体"/>
          <w:spacing w:val="-1"/>
        </w:rPr>
        <w:t>8.1供应商质疑截止时间：见供应商须知前附表</w:t>
      </w:r>
      <w:r>
        <w:rPr>
          <w:rFonts w:ascii="宋体" w:hAnsi="宋体"/>
          <w:spacing w:val="-1"/>
        </w:rPr>
        <w:t>。</w:t>
      </w:r>
    </w:p>
    <w:p>
      <w:pPr>
        <w:pStyle w:val="6"/>
        <w:ind w:left="671"/>
        <w:jc w:val="left"/>
        <w:rPr>
          <w:sz w:val="22"/>
        </w:rPr>
      </w:pPr>
      <w:r>
        <w:rPr>
          <w:rFonts w:hint="eastAsia"/>
          <w:sz w:val="22"/>
        </w:rPr>
        <w:t>9.</w:t>
      </w:r>
      <w:r>
        <w:rPr>
          <w:sz w:val="22"/>
        </w:rPr>
        <w:t>竞争性磋商范围及响应文件</w:t>
      </w:r>
      <w:r>
        <w:rPr>
          <w:rFonts w:hint="eastAsia"/>
          <w:sz w:val="22"/>
        </w:rPr>
        <w:t>成交</w:t>
      </w:r>
      <w:r>
        <w:rPr>
          <w:sz w:val="22"/>
        </w:rPr>
        <w:t>准和计量单位的</w:t>
      </w:r>
      <w:r>
        <w:rPr>
          <w:rFonts w:hint="eastAsia"/>
          <w:sz w:val="22"/>
        </w:rPr>
        <w:t>使</w:t>
      </w:r>
      <w:r>
        <w:rPr>
          <w:sz w:val="22"/>
        </w:rPr>
        <w:t>用</w:t>
      </w:r>
    </w:p>
    <w:p>
      <w:pPr>
        <w:pStyle w:val="33"/>
        <w:numPr>
          <w:ilvl w:val="1"/>
          <w:numId w:val="9"/>
        </w:numPr>
        <w:tabs>
          <w:tab w:val="left" w:pos="1090"/>
        </w:tabs>
        <w:spacing w:before="56" w:line="360" w:lineRule="auto"/>
        <w:ind w:right="368" w:firstLine="434"/>
        <w:jc w:val="both"/>
        <w:rPr>
          <w:sz w:val="21"/>
          <w:szCs w:val="21"/>
        </w:rPr>
      </w:pPr>
      <w:r>
        <w:rPr>
          <w:spacing w:val="-4"/>
          <w:sz w:val="21"/>
          <w:szCs w:val="21"/>
        </w:rPr>
        <w:t>项目有分包的，供应商可参与其中某一个或多个分包的竞争性磋商，成交包数</w:t>
      </w:r>
      <w:r>
        <w:rPr>
          <w:sz w:val="21"/>
          <w:szCs w:val="21"/>
        </w:rPr>
        <w:t>详见</w:t>
      </w:r>
      <w:r>
        <w:rPr>
          <w:sz w:val="21"/>
          <w:szCs w:val="21"/>
          <w:u w:val="single"/>
        </w:rPr>
        <w:t>供应商须知前附表</w:t>
      </w:r>
      <w:r>
        <w:rPr>
          <w:sz w:val="21"/>
          <w:szCs w:val="21"/>
        </w:rPr>
        <w:t>中规定。</w:t>
      </w:r>
    </w:p>
    <w:p>
      <w:pPr>
        <w:pStyle w:val="33"/>
        <w:numPr>
          <w:ilvl w:val="1"/>
          <w:numId w:val="9"/>
        </w:numPr>
        <w:tabs>
          <w:tab w:val="left" w:pos="1090"/>
        </w:tabs>
        <w:spacing w:line="360" w:lineRule="auto"/>
        <w:ind w:right="373" w:firstLine="434"/>
        <w:jc w:val="both"/>
        <w:rPr>
          <w:sz w:val="21"/>
          <w:szCs w:val="21"/>
        </w:rPr>
      </w:pPr>
      <w:r>
        <w:rPr>
          <w:spacing w:val="-3"/>
          <w:sz w:val="21"/>
          <w:szCs w:val="21"/>
        </w:rPr>
        <w:t>无论竞争性磋商文件中是否要求，供应商所投服务及伴随的货物和工程均应符</w:t>
      </w:r>
      <w:r>
        <w:rPr>
          <w:sz w:val="21"/>
          <w:szCs w:val="21"/>
        </w:rPr>
        <w:t>合国家强制性标准。</w:t>
      </w:r>
    </w:p>
    <w:p>
      <w:pPr>
        <w:pStyle w:val="33"/>
        <w:numPr>
          <w:ilvl w:val="1"/>
          <w:numId w:val="9"/>
        </w:numPr>
        <w:tabs>
          <w:tab w:val="left" w:pos="1090"/>
        </w:tabs>
        <w:spacing w:line="360" w:lineRule="auto"/>
        <w:ind w:right="369" w:firstLine="434"/>
        <w:jc w:val="both"/>
        <w:rPr>
          <w:sz w:val="21"/>
          <w:szCs w:val="21"/>
        </w:rPr>
      </w:pPr>
      <w:r>
        <w:rPr>
          <w:spacing w:val="-2"/>
          <w:sz w:val="21"/>
          <w:szCs w:val="21"/>
        </w:rPr>
        <w:t>供应商与采购代理机构之间与竞争性磋商有关的所有往来通知、函件和响应文</w:t>
      </w:r>
      <w:r>
        <w:rPr>
          <w:sz w:val="21"/>
          <w:szCs w:val="21"/>
        </w:rPr>
        <w:t xml:space="preserve">件均用中文表述。供应商随响应文件提供的证明文件和资料可以为其它语言， </w:t>
      </w:r>
      <w:r>
        <w:rPr>
          <w:spacing w:val="-10"/>
          <w:sz w:val="21"/>
          <w:szCs w:val="21"/>
        </w:rPr>
        <w:t>但必须附中文译文。翻译的中文资料与外文资料如果出现差异时，以中文为准。</w:t>
      </w:r>
    </w:p>
    <w:p>
      <w:pPr>
        <w:pStyle w:val="33"/>
        <w:numPr>
          <w:ilvl w:val="1"/>
          <w:numId w:val="9"/>
        </w:numPr>
        <w:tabs>
          <w:tab w:val="left" w:pos="1090"/>
        </w:tabs>
        <w:spacing w:line="360" w:lineRule="auto"/>
        <w:ind w:right="369" w:firstLine="434"/>
        <w:jc w:val="both"/>
        <w:rPr>
          <w:sz w:val="21"/>
          <w:szCs w:val="21"/>
        </w:rPr>
      </w:pPr>
      <w:r>
        <w:rPr>
          <w:spacing w:val="-3"/>
          <w:sz w:val="21"/>
          <w:szCs w:val="21"/>
        </w:rPr>
        <w:t>除竞争性磋商文件中有特殊要求外，响应文件中所使用的计量单位，应采用中</w:t>
      </w:r>
      <w:r>
        <w:rPr>
          <w:sz w:val="21"/>
          <w:szCs w:val="21"/>
        </w:rPr>
        <w:t>华人民共和国法定计量单位。</w:t>
      </w:r>
    </w:p>
    <w:p>
      <w:pPr>
        <w:pStyle w:val="6"/>
        <w:numPr>
          <w:ilvl w:val="0"/>
          <w:numId w:val="9"/>
        </w:numPr>
        <w:jc w:val="left"/>
        <w:rPr>
          <w:sz w:val="22"/>
        </w:rPr>
      </w:pPr>
      <w:r>
        <w:rPr>
          <w:sz w:val="22"/>
        </w:rPr>
        <w:t>响应文件构成</w:t>
      </w:r>
    </w:p>
    <w:p>
      <w:pPr>
        <w:pStyle w:val="33"/>
        <w:numPr>
          <w:ilvl w:val="1"/>
          <w:numId w:val="9"/>
        </w:numPr>
        <w:tabs>
          <w:tab w:val="left" w:pos="1195"/>
        </w:tabs>
        <w:spacing w:before="159" w:line="360" w:lineRule="auto"/>
        <w:ind w:right="249" w:firstLine="436"/>
        <w:rPr>
          <w:sz w:val="21"/>
          <w:szCs w:val="21"/>
        </w:rPr>
      </w:pPr>
      <w:r>
        <w:rPr>
          <w:spacing w:val="-1"/>
          <w:sz w:val="21"/>
          <w:szCs w:val="21"/>
        </w:rPr>
        <w:t xml:space="preserve">供应商应完整地按竞争性磋商文件提供的响应文件格式及要求编写响应文件， </w:t>
      </w:r>
      <w:r>
        <w:rPr>
          <w:sz w:val="21"/>
          <w:szCs w:val="21"/>
        </w:rPr>
        <w:t>具体内容详见第六章响应文件格式的相关内容。</w:t>
      </w:r>
    </w:p>
    <w:p>
      <w:pPr>
        <w:pStyle w:val="33"/>
        <w:tabs>
          <w:tab w:val="left" w:pos="1212"/>
        </w:tabs>
        <w:spacing w:before="1" w:line="360" w:lineRule="auto"/>
        <w:ind w:left="671" w:right="1672" w:firstLine="0"/>
        <w:rPr>
          <w:spacing w:val="-1"/>
          <w:sz w:val="21"/>
          <w:szCs w:val="21"/>
        </w:rPr>
      </w:pPr>
      <w:r>
        <w:rPr>
          <w:rFonts w:hint="eastAsia"/>
          <w:spacing w:val="-1"/>
          <w:sz w:val="21"/>
          <w:szCs w:val="21"/>
        </w:rPr>
        <w:t xml:space="preserve">10.2 </w:t>
      </w:r>
      <w:r>
        <w:rPr>
          <w:spacing w:val="-1"/>
          <w:sz w:val="21"/>
          <w:szCs w:val="21"/>
        </w:rPr>
        <w:t>上述文件应按照竞争性磋商文件规定的格式填写、签署和盖章。</w:t>
      </w:r>
    </w:p>
    <w:p>
      <w:pPr>
        <w:pStyle w:val="33"/>
        <w:tabs>
          <w:tab w:val="left" w:pos="1212"/>
        </w:tabs>
        <w:spacing w:before="1" w:line="360" w:lineRule="auto"/>
        <w:ind w:left="671" w:right="1672" w:firstLine="0"/>
        <w:rPr>
          <w:b/>
          <w:sz w:val="21"/>
          <w:szCs w:val="21"/>
        </w:rPr>
      </w:pPr>
      <w:r>
        <w:rPr>
          <w:b/>
          <w:sz w:val="21"/>
          <w:szCs w:val="21"/>
        </w:rPr>
        <w:t>11.证明标的的合格性和符合竞争性磋商文件规定的响应文件</w:t>
      </w:r>
    </w:p>
    <w:p>
      <w:pPr>
        <w:pStyle w:val="33"/>
        <w:numPr>
          <w:ilvl w:val="1"/>
          <w:numId w:val="10"/>
        </w:numPr>
        <w:tabs>
          <w:tab w:val="left" w:pos="1272"/>
        </w:tabs>
        <w:spacing w:line="360" w:lineRule="auto"/>
        <w:ind w:right="371" w:firstLine="434"/>
        <w:rPr>
          <w:sz w:val="21"/>
          <w:szCs w:val="21"/>
        </w:rPr>
      </w:pPr>
      <w:r>
        <w:rPr>
          <w:spacing w:val="-1"/>
          <w:sz w:val="21"/>
          <w:szCs w:val="21"/>
        </w:rPr>
        <w:t>供应商应提交竞争性磋商文件要求的证明文件，证明其响应内容符合竞争性磋商文</w:t>
      </w:r>
      <w:r>
        <w:rPr>
          <w:sz w:val="21"/>
          <w:szCs w:val="21"/>
        </w:rPr>
        <w:t>件规定。该证明文件是响应文件的一部分。</w:t>
      </w:r>
    </w:p>
    <w:p>
      <w:pPr>
        <w:pStyle w:val="33"/>
        <w:numPr>
          <w:ilvl w:val="1"/>
          <w:numId w:val="10"/>
        </w:numPr>
        <w:tabs>
          <w:tab w:val="left" w:pos="1210"/>
        </w:tabs>
        <w:spacing w:before="4" w:line="360" w:lineRule="auto"/>
        <w:ind w:left="1209" w:hanging="541"/>
        <w:rPr>
          <w:sz w:val="21"/>
          <w:szCs w:val="21"/>
        </w:rPr>
      </w:pPr>
      <w:r>
        <w:rPr>
          <w:sz w:val="21"/>
          <w:szCs w:val="21"/>
        </w:rPr>
        <w:t>上款所述的证明文件，可以是文字资料、图纸和数据。</w:t>
      </w:r>
    </w:p>
    <w:p>
      <w:pPr>
        <w:pStyle w:val="33"/>
        <w:numPr>
          <w:ilvl w:val="1"/>
          <w:numId w:val="10"/>
        </w:numPr>
        <w:tabs>
          <w:tab w:val="left" w:pos="1210"/>
        </w:tabs>
        <w:spacing w:before="158" w:line="360" w:lineRule="auto"/>
        <w:ind w:left="1209" w:hanging="541"/>
        <w:rPr>
          <w:sz w:val="21"/>
          <w:szCs w:val="21"/>
        </w:rPr>
      </w:pPr>
      <w:r>
        <w:rPr>
          <w:sz w:val="21"/>
          <w:szCs w:val="21"/>
        </w:rPr>
        <w:t>本条所指证明文件不包括对竞争性磋商文件相关部分的文字、图标的复制。</w:t>
      </w:r>
    </w:p>
    <w:p>
      <w:pPr>
        <w:pStyle w:val="33"/>
        <w:numPr>
          <w:ilvl w:val="1"/>
          <w:numId w:val="10"/>
        </w:numPr>
        <w:tabs>
          <w:tab w:val="left" w:pos="1272"/>
        </w:tabs>
        <w:spacing w:before="161" w:line="360" w:lineRule="auto"/>
        <w:ind w:right="365" w:firstLine="434"/>
        <w:rPr>
          <w:sz w:val="21"/>
          <w:szCs w:val="21"/>
        </w:rPr>
      </w:pPr>
      <w:r>
        <w:rPr>
          <w:sz w:val="21"/>
          <w:szCs w:val="21"/>
        </w:rPr>
        <w:t>为保证公平公正，除非另有规定或说明，供应商对同一项目竞争性磋商时， 不得同时提供备选竞争性磋商方案。</w:t>
      </w:r>
    </w:p>
    <w:p>
      <w:pPr>
        <w:pStyle w:val="6"/>
        <w:numPr>
          <w:ilvl w:val="0"/>
          <w:numId w:val="11"/>
        </w:numPr>
        <w:jc w:val="left"/>
        <w:rPr>
          <w:sz w:val="22"/>
        </w:rPr>
      </w:pPr>
      <w:r>
        <w:rPr>
          <w:sz w:val="22"/>
        </w:rPr>
        <w:t>报价</w:t>
      </w:r>
    </w:p>
    <w:p>
      <w:pPr>
        <w:pStyle w:val="33"/>
        <w:numPr>
          <w:ilvl w:val="1"/>
          <w:numId w:val="11"/>
        </w:numPr>
        <w:tabs>
          <w:tab w:val="left" w:pos="1272"/>
        </w:tabs>
        <w:spacing w:before="158" w:line="360" w:lineRule="auto"/>
        <w:ind w:right="368" w:firstLine="434"/>
        <w:jc w:val="both"/>
        <w:rPr>
          <w:sz w:val="21"/>
          <w:szCs w:val="21"/>
        </w:rPr>
      </w:pPr>
      <w:r>
        <w:rPr>
          <w:spacing w:val="-1"/>
          <w:sz w:val="21"/>
          <w:szCs w:val="21"/>
        </w:rPr>
        <w:t xml:space="preserve">供应商的报价应当包括满足本次竞争性磋商全部采购需求所应提供的服务， </w:t>
      </w:r>
      <w:r>
        <w:rPr>
          <w:sz w:val="21"/>
          <w:szCs w:val="21"/>
        </w:rPr>
        <w:t>以及伴随的货物和工程。所有内容均应以人民币报价，供应商的竞争性磋商报价应遵</w:t>
      </w:r>
      <w:r>
        <w:rPr>
          <w:spacing w:val="-10"/>
          <w:sz w:val="21"/>
          <w:szCs w:val="21"/>
        </w:rPr>
        <w:t>守《中</w:t>
      </w:r>
      <w:r>
        <w:rPr>
          <w:sz w:val="21"/>
          <w:szCs w:val="21"/>
        </w:rPr>
        <w:t>华人民共和国价格法》。</w:t>
      </w:r>
    </w:p>
    <w:p>
      <w:pPr>
        <w:pStyle w:val="33"/>
        <w:numPr>
          <w:ilvl w:val="1"/>
          <w:numId w:val="11"/>
        </w:numPr>
        <w:tabs>
          <w:tab w:val="left" w:pos="1210"/>
        </w:tabs>
        <w:spacing w:line="360" w:lineRule="auto"/>
        <w:ind w:right="369" w:firstLine="434"/>
        <w:jc w:val="both"/>
        <w:rPr>
          <w:sz w:val="21"/>
          <w:szCs w:val="21"/>
        </w:rPr>
      </w:pPr>
      <w:r>
        <w:rPr>
          <w:spacing w:val="-7"/>
          <w:sz w:val="21"/>
          <w:szCs w:val="21"/>
        </w:rPr>
        <w:t>供应商应在分项报价表上标明分项服务、伴随的货物和工程的价格</w:t>
      </w:r>
      <w:r>
        <w:rPr>
          <w:sz w:val="21"/>
          <w:szCs w:val="21"/>
        </w:rPr>
        <w:t>（</w:t>
      </w:r>
      <w:r>
        <w:rPr>
          <w:spacing w:val="-15"/>
          <w:sz w:val="21"/>
          <w:szCs w:val="21"/>
        </w:rPr>
        <w:t>如</w:t>
      </w:r>
      <w:r>
        <w:rPr>
          <w:sz w:val="21"/>
          <w:szCs w:val="21"/>
        </w:rPr>
        <w:t>适用）和总价，未标明的视同包含在竞争性磋商报价中。</w:t>
      </w:r>
    </w:p>
    <w:p>
      <w:pPr>
        <w:pStyle w:val="33"/>
        <w:numPr>
          <w:ilvl w:val="1"/>
          <w:numId w:val="11"/>
        </w:numPr>
        <w:tabs>
          <w:tab w:val="left" w:pos="1272"/>
        </w:tabs>
        <w:spacing w:before="5" w:line="360" w:lineRule="auto"/>
        <w:ind w:right="373" w:firstLine="434"/>
        <w:jc w:val="both"/>
        <w:rPr>
          <w:sz w:val="21"/>
          <w:szCs w:val="21"/>
        </w:rPr>
      </w:pPr>
      <w:r>
        <w:rPr>
          <w:spacing w:val="-1"/>
          <w:sz w:val="21"/>
          <w:szCs w:val="21"/>
        </w:rPr>
        <w:t>除非竞争性磋商文件另有规定或经采购人同意支付的，最后报价均不得高于</w:t>
      </w:r>
      <w:r>
        <w:rPr>
          <w:sz w:val="21"/>
          <w:szCs w:val="21"/>
        </w:rPr>
        <w:t>竞争性磋商文件（公告）列明的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pPr>
        <w:pStyle w:val="33"/>
        <w:numPr>
          <w:ilvl w:val="1"/>
          <w:numId w:val="11"/>
        </w:numPr>
        <w:tabs>
          <w:tab w:val="left" w:pos="1272"/>
        </w:tabs>
        <w:spacing w:line="360" w:lineRule="auto"/>
        <w:ind w:left="1271"/>
        <w:jc w:val="both"/>
        <w:rPr>
          <w:sz w:val="21"/>
          <w:szCs w:val="21"/>
        </w:rPr>
      </w:pPr>
      <w:r>
        <w:rPr>
          <w:sz w:val="21"/>
          <w:szCs w:val="21"/>
        </w:rPr>
        <w:t>报价在合同履行过程中是固定不变的，不得以任何理由予以变更。任何包含价格调整要求的竞争性磋商，其响应文件将被认定为</w:t>
      </w:r>
      <w:r>
        <w:rPr>
          <w:b/>
          <w:sz w:val="21"/>
          <w:szCs w:val="21"/>
        </w:rPr>
        <w:t>响应无效</w:t>
      </w:r>
      <w:r>
        <w:rPr>
          <w:sz w:val="21"/>
          <w:szCs w:val="21"/>
        </w:rPr>
        <w:t>。</w:t>
      </w:r>
    </w:p>
    <w:p>
      <w:pPr>
        <w:pStyle w:val="33"/>
        <w:tabs>
          <w:tab w:val="left" w:pos="1210"/>
        </w:tabs>
        <w:spacing w:before="56" w:line="360" w:lineRule="auto"/>
        <w:ind w:left="671" w:right="3835" w:firstLine="0"/>
        <w:rPr>
          <w:spacing w:val="-2"/>
          <w:sz w:val="21"/>
          <w:szCs w:val="21"/>
        </w:rPr>
      </w:pPr>
      <w:r>
        <w:rPr>
          <w:rFonts w:hint="eastAsia"/>
          <w:spacing w:val="-2"/>
          <w:sz w:val="21"/>
          <w:szCs w:val="21"/>
        </w:rPr>
        <w:t xml:space="preserve">12.5 </w:t>
      </w:r>
      <w:r>
        <w:rPr>
          <w:spacing w:val="-2"/>
          <w:sz w:val="21"/>
          <w:szCs w:val="21"/>
        </w:rPr>
        <w:t>采购人不接受具有附加条件的报价。</w:t>
      </w:r>
    </w:p>
    <w:p>
      <w:pPr>
        <w:pStyle w:val="33"/>
        <w:tabs>
          <w:tab w:val="left" w:pos="1210"/>
        </w:tabs>
        <w:spacing w:before="56" w:line="360" w:lineRule="auto"/>
        <w:ind w:left="671" w:right="3835" w:firstLine="0"/>
        <w:rPr>
          <w:b/>
          <w:sz w:val="21"/>
          <w:szCs w:val="21"/>
        </w:rPr>
      </w:pPr>
      <w:r>
        <w:rPr>
          <w:b/>
          <w:sz w:val="21"/>
          <w:szCs w:val="21"/>
        </w:rPr>
        <w:t>13.竞争性磋商保证金</w:t>
      </w:r>
    </w:p>
    <w:p>
      <w:pPr>
        <w:pStyle w:val="33"/>
        <w:tabs>
          <w:tab w:val="left" w:pos="1271"/>
        </w:tabs>
        <w:spacing w:before="24" w:line="360" w:lineRule="auto"/>
        <w:ind w:left="671" w:right="1134" w:firstLine="0"/>
        <w:rPr>
          <w:sz w:val="21"/>
          <w:szCs w:val="21"/>
          <w:lang w:val="en-US"/>
        </w:rPr>
      </w:pPr>
      <w:r>
        <w:rPr>
          <w:rFonts w:hint="eastAsia"/>
          <w:sz w:val="21"/>
          <w:szCs w:val="21"/>
          <w:lang w:val="en-US"/>
        </w:rPr>
        <w:t>见供应商</w:t>
      </w:r>
      <w:r>
        <w:rPr>
          <w:rFonts w:hint="eastAsia"/>
          <w:sz w:val="21"/>
          <w:szCs w:val="21"/>
          <w:u w:val="single"/>
          <w:lang w:val="en-US"/>
        </w:rPr>
        <w:t>须知</w:t>
      </w:r>
      <w:r>
        <w:rPr>
          <w:sz w:val="21"/>
          <w:szCs w:val="21"/>
          <w:u w:val="single"/>
        </w:rPr>
        <w:t>前附</w:t>
      </w:r>
      <w:r>
        <w:rPr>
          <w:rFonts w:hint="eastAsia"/>
          <w:sz w:val="21"/>
          <w:szCs w:val="21"/>
          <w:u w:val="single"/>
          <w:lang w:val="en-US"/>
        </w:rPr>
        <w:t>表</w:t>
      </w:r>
    </w:p>
    <w:p>
      <w:pPr>
        <w:pStyle w:val="33"/>
        <w:tabs>
          <w:tab w:val="left" w:pos="1271"/>
        </w:tabs>
        <w:spacing w:before="24" w:line="360" w:lineRule="auto"/>
        <w:ind w:left="671" w:right="1134" w:firstLine="0"/>
        <w:rPr>
          <w:b/>
          <w:sz w:val="21"/>
          <w:szCs w:val="21"/>
        </w:rPr>
      </w:pPr>
      <w:r>
        <w:rPr>
          <w:b/>
          <w:sz w:val="21"/>
          <w:szCs w:val="21"/>
        </w:rPr>
        <w:t>14.竞争性磋商有效期</w:t>
      </w:r>
    </w:p>
    <w:p>
      <w:pPr>
        <w:pStyle w:val="33"/>
        <w:numPr>
          <w:ilvl w:val="1"/>
          <w:numId w:val="12"/>
        </w:numPr>
        <w:tabs>
          <w:tab w:val="left" w:pos="1272"/>
        </w:tabs>
        <w:spacing w:before="56" w:line="360" w:lineRule="auto"/>
        <w:ind w:right="371" w:firstLine="434"/>
        <w:jc w:val="both"/>
        <w:rPr>
          <w:sz w:val="21"/>
          <w:szCs w:val="21"/>
        </w:rPr>
      </w:pPr>
      <w:r>
        <w:rPr>
          <w:spacing w:val="-1"/>
          <w:sz w:val="21"/>
          <w:szCs w:val="21"/>
        </w:rPr>
        <w:t>竞争性磋商有效期为从响应文件提交截止之日算起的日历天数，竞争性磋商有效期</w:t>
      </w:r>
      <w:r>
        <w:rPr>
          <w:sz w:val="21"/>
          <w:szCs w:val="21"/>
        </w:rPr>
        <w:t>详见</w:t>
      </w:r>
      <w:r>
        <w:rPr>
          <w:sz w:val="21"/>
          <w:szCs w:val="21"/>
          <w:u w:val="single"/>
        </w:rPr>
        <w:t>供应商须知前附表</w:t>
      </w:r>
      <w:r>
        <w:rPr>
          <w:sz w:val="21"/>
          <w:szCs w:val="21"/>
        </w:rPr>
        <w:t>。</w:t>
      </w:r>
    </w:p>
    <w:p>
      <w:pPr>
        <w:pStyle w:val="33"/>
        <w:numPr>
          <w:ilvl w:val="1"/>
          <w:numId w:val="12"/>
        </w:numPr>
        <w:tabs>
          <w:tab w:val="left" w:pos="1272"/>
        </w:tabs>
        <w:spacing w:line="360" w:lineRule="auto"/>
        <w:ind w:right="363" w:firstLine="434"/>
        <w:jc w:val="both"/>
        <w:rPr>
          <w:sz w:val="21"/>
          <w:szCs w:val="21"/>
        </w:rPr>
      </w:pPr>
      <w:r>
        <w:rPr>
          <w:sz w:val="21"/>
          <w:szCs w:val="21"/>
        </w:rPr>
        <w:t>在竞争性磋商有效期内，供应商的竞争性磋商保持有效，供应商不得要求撤销或修改其响应文件。竞争性磋商有效期不满足要求的响应，其响应文件将被认定为</w:t>
      </w:r>
      <w:r>
        <w:rPr>
          <w:b/>
          <w:spacing w:val="4"/>
          <w:sz w:val="21"/>
          <w:szCs w:val="21"/>
        </w:rPr>
        <w:t>响应无</w:t>
      </w:r>
      <w:r>
        <w:rPr>
          <w:b/>
          <w:sz w:val="21"/>
          <w:szCs w:val="21"/>
        </w:rPr>
        <w:t>效</w:t>
      </w:r>
      <w:r>
        <w:rPr>
          <w:sz w:val="21"/>
          <w:szCs w:val="21"/>
        </w:rPr>
        <w:t>。</w:t>
      </w:r>
    </w:p>
    <w:p>
      <w:pPr>
        <w:pStyle w:val="33"/>
        <w:numPr>
          <w:ilvl w:val="1"/>
          <w:numId w:val="12"/>
        </w:numPr>
        <w:tabs>
          <w:tab w:val="left" w:pos="1193"/>
        </w:tabs>
        <w:spacing w:line="360" w:lineRule="auto"/>
        <w:ind w:right="249" w:firstLine="434"/>
        <w:rPr>
          <w:sz w:val="21"/>
          <w:szCs w:val="21"/>
        </w:rPr>
      </w:pPr>
      <w:r>
        <w:rPr>
          <w:spacing w:val="-10"/>
          <w:sz w:val="21"/>
          <w:szCs w:val="21"/>
        </w:rPr>
        <w:t xml:space="preserve">为保证有充分时间签订合同，采购人或采购代理机构可根据实际情况， </w:t>
      </w:r>
      <w:r>
        <w:rPr>
          <w:sz w:val="21"/>
          <w:szCs w:val="21"/>
        </w:rPr>
        <w:t>在原竞争性磋商有效期截止之前，要求供应商延长竞争性磋商有效期。接受该要求的供应商</w:t>
      </w:r>
      <w:r>
        <w:rPr>
          <w:spacing w:val="-1"/>
          <w:sz w:val="21"/>
          <w:szCs w:val="21"/>
        </w:rPr>
        <w:t xml:space="preserve">将不会被要求和允许修正其响应文件。供应商可以拒绝延长竞争性磋商有效期的要求， </w:t>
      </w:r>
      <w:r>
        <w:rPr>
          <w:sz w:val="21"/>
          <w:szCs w:val="21"/>
        </w:rPr>
        <w:t>且不承担任何责任。上述要求和答复都应以书面形式提交。</w:t>
      </w:r>
    </w:p>
    <w:p>
      <w:pPr>
        <w:pStyle w:val="6"/>
        <w:numPr>
          <w:ilvl w:val="0"/>
          <w:numId w:val="13"/>
        </w:numPr>
        <w:jc w:val="left"/>
        <w:rPr>
          <w:sz w:val="22"/>
        </w:rPr>
      </w:pPr>
      <w:r>
        <w:rPr>
          <w:sz w:val="22"/>
        </w:rPr>
        <w:t>响应文件的制作</w:t>
      </w:r>
    </w:p>
    <w:p>
      <w:pPr>
        <w:pStyle w:val="33"/>
        <w:numPr>
          <w:ilvl w:val="1"/>
          <w:numId w:val="13"/>
        </w:numPr>
        <w:tabs>
          <w:tab w:val="left" w:pos="1272"/>
        </w:tabs>
        <w:spacing w:before="158" w:line="360" w:lineRule="auto"/>
        <w:ind w:left="234" w:right="368" w:firstLine="434"/>
        <w:jc w:val="both"/>
        <w:rPr>
          <w:sz w:val="21"/>
          <w:szCs w:val="21"/>
        </w:rPr>
      </w:pPr>
      <w:r>
        <w:rPr>
          <w:rFonts w:hint="eastAsia"/>
          <w:spacing w:val="-8"/>
          <w:sz w:val="21"/>
          <w:szCs w:val="21"/>
        </w:rPr>
        <w:t>响应文件应按第六章“响应文件格式”进行编写，如有必要，可以增加附页，作为响应文件的组成部分。</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响应文件应当对招标文件有关服务期限、投标有效期、采购需求、招标范围等实质性内容作出响应。响应文件在满足招标文件实质性要求的基础上，可以提出比招标文件要求更有利于采购人的承诺。</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响应文件应用不褪色的材料书写或打印，投标函及对响应文件的澄清、说明和补正应由供应商的法定代表人（单位负责人）或其授权的代理人签字或盖单位章。由供应商的法定代表人（单位负责人）签字的，应附法定代表人身份证明原件，由代理人签字的，应附授权委托书，身份证明或授权委托书应符合第六章“响应文件格式”的要求。响应文件应尽量避免涂改、行间插字或删除。如果出现上述情况，改动之处应由供应商的法定代表 人（单位负责人）或其授权的代理人签字或盖单位章</w:t>
      </w:r>
      <w:r>
        <w:rPr>
          <w:rFonts w:ascii="宋体" w:hAnsi="宋体" w:cs="宋体"/>
          <w:spacing w:val="-8"/>
          <w:kern w:val="0"/>
          <w:lang w:val="zh-CN" w:bidi="zh-CN"/>
        </w:rPr>
        <w:t>。</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响应文件的正本与副本应分别装订，并编制目录，响应文件需分册装订的，具体分册装订要求见供应商须知前附表规定。</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开标现场提交的其他材料要求详见供应商须知前附表。</w:t>
      </w:r>
    </w:p>
    <w:p>
      <w:pPr>
        <w:pStyle w:val="6"/>
        <w:numPr>
          <w:ilvl w:val="0"/>
          <w:numId w:val="13"/>
        </w:numPr>
        <w:jc w:val="left"/>
        <w:rPr>
          <w:sz w:val="22"/>
        </w:rPr>
      </w:pPr>
      <w:r>
        <w:rPr>
          <w:sz w:val="22"/>
        </w:rPr>
        <w:t>响应文件提交截止时间</w:t>
      </w:r>
    </w:p>
    <w:p>
      <w:pPr>
        <w:pStyle w:val="33"/>
        <w:numPr>
          <w:ilvl w:val="1"/>
          <w:numId w:val="13"/>
        </w:numPr>
        <w:tabs>
          <w:tab w:val="left" w:pos="1272"/>
        </w:tabs>
        <w:spacing w:before="161" w:line="360" w:lineRule="auto"/>
        <w:ind w:left="234" w:right="369" w:firstLine="434"/>
        <w:rPr>
          <w:sz w:val="21"/>
          <w:szCs w:val="21"/>
        </w:rPr>
      </w:pPr>
      <w:r>
        <w:rPr>
          <w:rFonts w:hint="eastAsia"/>
          <w:sz w:val="21"/>
          <w:szCs w:val="21"/>
        </w:rPr>
        <w:t>响应文件应密封包装，并在封套的封口处加盖供应商单位章或由供应商的法定代表人（单位负责人）或其授权的代理人签字。</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响应文件封套上应写明的内容见供应商须知前附表。</w:t>
      </w:r>
    </w:p>
    <w:p>
      <w:pPr>
        <w:numPr>
          <w:ilvl w:val="1"/>
          <w:numId w:val="13"/>
        </w:numPr>
        <w:tabs>
          <w:tab w:val="left" w:pos="1272"/>
        </w:tabs>
        <w:autoSpaceDE w:val="0"/>
        <w:autoSpaceDN w:val="0"/>
        <w:spacing w:before="158" w:line="360" w:lineRule="auto"/>
        <w:ind w:left="234" w:right="368" w:firstLine="434"/>
        <w:rPr>
          <w:rFonts w:ascii="宋体" w:hAnsi="宋体" w:cs="宋体"/>
          <w:spacing w:val="-8"/>
          <w:kern w:val="0"/>
          <w:lang w:val="zh-CN" w:bidi="zh-CN"/>
        </w:rPr>
      </w:pPr>
      <w:r>
        <w:rPr>
          <w:rFonts w:hint="eastAsia" w:ascii="宋体" w:hAnsi="宋体" w:cs="宋体"/>
          <w:spacing w:val="-8"/>
          <w:kern w:val="0"/>
          <w:lang w:val="zh-CN" w:bidi="zh-CN"/>
        </w:rPr>
        <w:t>未按本章第16.1 项要求密封的响应文件，采购人将予以拒收。</w:t>
      </w:r>
    </w:p>
    <w:p>
      <w:pPr>
        <w:pStyle w:val="34"/>
        <w:rPr>
          <w:lang w:val="zh-CN" w:bidi="zh-CN"/>
        </w:rPr>
      </w:pPr>
    </w:p>
    <w:p>
      <w:pPr>
        <w:pStyle w:val="6"/>
        <w:numPr>
          <w:ilvl w:val="0"/>
          <w:numId w:val="13"/>
        </w:numPr>
        <w:jc w:val="left"/>
        <w:rPr>
          <w:sz w:val="22"/>
        </w:rPr>
      </w:pPr>
      <w:r>
        <w:rPr>
          <w:sz w:val="22"/>
        </w:rPr>
        <w:t>响应文件的提交、修改与撤回</w:t>
      </w:r>
    </w:p>
    <w:p>
      <w:pPr>
        <w:pStyle w:val="33"/>
        <w:numPr>
          <w:ilvl w:val="1"/>
          <w:numId w:val="13"/>
        </w:numPr>
        <w:tabs>
          <w:tab w:val="left" w:pos="1210"/>
        </w:tabs>
        <w:spacing w:before="161" w:line="360" w:lineRule="auto"/>
        <w:ind w:right="368"/>
        <w:rPr>
          <w:spacing w:val="-2"/>
          <w:sz w:val="21"/>
          <w:szCs w:val="21"/>
        </w:rPr>
      </w:pPr>
      <w:r>
        <w:rPr>
          <w:rFonts w:hint="eastAsia"/>
          <w:spacing w:val="-2"/>
          <w:sz w:val="21"/>
          <w:szCs w:val="21"/>
        </w:rPr>
        <w:t>响应文件的递交</w:t>
      </w:r>
    </w:p>
    <w:p>
      <w:pPr>
        <w:pStyle w:val="33"/>
        <w:tabs>
          <w:tab w:val="left" w:pos="1210"/>
        </w:tabs>
        <w:spacing w:before="161" w:line="360" w:lineRule="auto"/>
        <w:ind w:left="668" w:right="368" w:firstLine="0"/>
        <w:rPr>
          <w:spacing w:val="-2"/>
          <w:sz w:val="21"/>
          <w:szCs w:val="21"/>
        </w:rPr>
      </w:pPr>
      <w:r>
        <w:rPr>
          <w:rFonts w:hint="eastAsia"/>
          <w:spacing w:val="-2"/>
          <w:sz w:val="21"/>
          <w:szCs w:val="21"/>
        </w:rPr>
        <w:t>17.1.1供应商应在供应商须知前附表规定的投标截止时间前递交响应文件。</w:t>
      </w:r>
    </w:p>
    <w:p>
      <w:pPr>
        <w:pStyle w:val="33"/>
        <w:tabs>
          <w:tab w:val="left" w:pos="1210"/>
        </w:tabs>
        <w:spacing w:before="161" w:line="360" w:lineRule="auto"/>
        <w:ind w:right="368"/>
        <w:rPr>
          <w:spacing w:val="-2"/>
          <w:sz w:val="21"/>
          <w:szCs w:val="21"/>
        </w:rPr>
      </w:pPr>
      <w:r>
        <w:rPr>
          <w:rFonts w:hint="eastAsia"/>
          <w:spacing w:val="-2"/>
          <w:sz w:val="21"/>
          <w:szCs w:val="21"/>
        </w:rPr>
        <w:t>17.1.2供应商递交响应文件的地点：见供应商须知前附表。</w:t>
      </w:r>
    </w:p>
    <w:p>
      <w:pPr>
        <w:pStyle w:val="33"/>
        <w:tabs>
          <w:tab w:val="left" w:pos="1210"/>
        </w:tabs>
        <w:spacing w:before="161" w:line="360" w:lineRule="auto"/>
        <w:ind w:right="368"/>
        <w:rPr>
          <w:spacing w:val="-2"/>
          <w:sz w:val="21"/>
          <w:szCs w:val="21"/>
        </w:rPr>
      </w:pPr>
      <w:r>
        <w:rPr>
          <w:rFonts w:hint="eastAsia"/>
          <w:spacing w:val="-2"/>
          <w:sz w:val="21"/>
          <w:szCs w:val="21"/>
        </w:rPr>
        <w:t>17.1.3除供应商须知前附表另有规定外，供应商所递交的响应文件不予退还。</w:t>
      </w:r>
    </w:p>
    <w:p>
      <w:pPr>
        <w:pStyle w:val="33"/>
        <w:tabs>
          <w:tab w:val="left" w:pos="1210"/>
        </w:tabs>
        <w:spacing w:before="161" w:line="360" w:lineRule="auto"/>
        <w:ind w:right="368"/>
        <w:rPr>
          <w:spacing w:val="-2"/>
          <w:sz w:val="21"/>
          <w:szCs w:val="21"/>
        </w:rPr>
      </w:pPr>
      <w:r>
        <w:rPr>
          <w:rFonts w:hint="eastAsia"/>
          <w:spacing w:val="-2"/>
          <w:sz w:val="21"/>
          <w:szCs w:val="21"/>
        </w:rPr>
        <w:t>17.1.4采购人收到响应文件后，向供应商出具签收凭证。</w:t>
      </w:r>
    </w:p>
    <w:p>
      <w:pPr>
        <w:pStyle w:val="33"/>
        <w:tabs>
          <w:tab w:val="left" w:pos="1210"/>
        </w:tabs>
        <w:spacing w:before="161" w:line="360" w:lineRule="auto"/>
        <w:ind w:right="368" w:firstLine="432" w:firstLineChars="210"/>
        <w:jc w:val="both"/>
        <w:rPr>
          <w:sz w:val="21"/>
          <w:szCs w:val="21"/>
        </w:rPr>
      </w:pPr>
      <w:r>
        <w:rPr>
          <w:rFonts w:hint="eastAsia"/>
          <w:spacing w:val="-2"/>
          <w:sz w:val="21"/>
          <w:szCs w:val="21"/>
        </w:rPr>
        <w:t>17.1.5逾期送达的响应文件，采购人将予以拒收。</w:t>
      </w:r>
      <w:r>
        <w:rPr>
          <w:sz w:val="21"/>
          <w:szCs w:val="21"/>
        </w:rPr>
        <w:t>。</w:t>
      </w:r>
    </w:p>
    <w:p>
      <w:pPr>
        <w:pStyle w:val="33"/>
        <w:numPr>
          <w:ilvl w:val="1"/>
          <w:numId w:val="13"/>
        </w:numPr>
        <w:tabs>
          <w:tab w:val="left" w:pos="1193"/>
        </w:tabs>
        <w:spacing w:line="360" w:lineRule="auto"/>
        <w:ind w:right="371"/>
        <w:rPr>
          <w:sz w:val="21"/>
          <w:szCs w:val="21"/>
        </w:rPr>
      </w:pPr>
      <w:r>
        <w:rPr>
          <w:rFonts w:hint="eastAsia"/>
          <w:sz w:val="21"/>
          <w:szCs w:val="21"/>
        </w:rPr>
        <w:t>响应文件的修改与撤回</w:t>
      </w:r>
    </w:p>
    <w:p>
      <w:pPr>
        <w:pStyle w:val="33"/>
        <w:tabs>
          <w:tab w:val="left" w:pos="1193"/>
        </w:tabs>
        <w:spacing w:line="360" w:lineRule="auto"/>
        <w:ind w:left="668" w:right="371" w:firstLine="0"/>
        <w:rPr>
          <w:sz w:val="21"/>
          <w:szCs w:val="21"/>
        </w:rPr>
      </w:pPr>
      <w:r>
        <w:rPr>
          <w:rFonts w:hint="eastAsia"/>
          <w:sz w:val="21"/>
          <w:szCs w:val="21"/>
        </w:rPr>
        <w:t>17.2.1在本章第</w:t>
      </w:r>
      <w:r>
        <w:rPr>
          <w:rFonts w:hint="eastAsia"/>
          <w:sz w:val="21"/>
          <w:szCs w:val="21"/>
          <w:lang w:val="en-US"/>
        </w:rPr>
        <w:t>13</w:t>
      </w:r>
      <w:r>
        <w:rPr>
          <w:rFonts w:hint="eastAsia"/>
          <w:sz w:val="21"/>
          <w:szCs w:val="21"/>
        </w:rPr>
        <w:t>项规定的投标截止时间前，供应商可以修改或撤回已递交的响应文件， 但应以书面形式通知采购人。</w:t>
      </w:r>
    </w:p>
    <w:p>
      <w:pPr>
        <w:pStyle w:val="33"/>
        <w:tabs>
          <w:tab w:val="left" w:pos="1193"/>
        </w:tabs>
        <w:spacing w:line="360" w:lineRule="auto"/>
        <w:ind w:right="371"/>
        <w:rPr>
          <w:sz w:val="21"/>
          <w:szCs w:val="21"/>
        </w:rPr>
      </w:pPr>
      <w:r>
        <w:rPr>
          <w:rFonts w:hint="eastAsia"/>
          <w:sz w:val="21"/>
          <w:szCs w:val="21"/>
        </w:rPr>
        <w:t>17.2.</w:t>
      </w:r>
      <w:r>
        <w:rPr>
          <w:sz w:val="21"/>
          <w:szCs w:val="21"/>
        </w:rPr>
        <w:t>2</w:t>
      </w:r>
      <w:r>
        <w:rPr>
          <w:rFonts w:hint="eastAsia"/>
          <w:sz w:val="21"/>
          <w:szCs w:val="21"/>
        </w:rPr>
        <w:t xml:space="preserve"> 供应商修改或撤回已递交响应文件的书面通知应按照本章第 </w:t>
      </w:r>
      <w:r>
        <w:rPr>
          <w:rFonts w:hint="eastAsia"/>
          <w:sz w:val="21"/>
          <w:szCs w:val="21"/>
          <w:lang w:val="en-US"/>
        </w:rPr>
        <w:t>11</w:t>
      </w:r>
      <w:r>
        <w:rPr>
          <w:rFonts w:hint="eastAsia"/>
          <w:sz w:val="21"/>
          <w:szCs w:val="21"/>
        </w:rPr>
        <w:t>项的要求签字或盖章。采购人收到书面通知后，向供应商出具签收凭证。</w:t>
      </w:r>
    </w:p>
    <w:p>
      <w:pPr>
        <w:pStyle w:val="33"/>
        <w:tabs>
          <w:tab w:val="left" w:pos="1193"/>
        </w:tabs>
        <w:spacing w:line="360" w:lineRule="auto"/>
        <w:ind w:left="668" w:right="371" w:firstLine="0"/>
        <w:rPr>
          <w:sz w:val="21"/>
          <w:szCs w:val="21"/>
        </w:rPr>
      </w:pPr>
      <w:r>
        <w:rPr>
          <w:rFonts w:hint="eastAsia"/>
          <w:sz w:val="21"/>
          <w:szCs w:val="21"/>
        </w:rPr>
        <w:t>17.2.</w:t>
      </w:r>
      <w:r>
        <w:rPr>
          <w:sz w:val="21"/>
          <w:szCs w:val="21"/>
        </w:rPr>
        <w:t>3</w:t>
      </w:r>
      <w:r>
        <w:rPr>
          <w:rFonts w:hint="eastAsia"/>
          <w:sz w:val="21"/>
          <w:szCs w:val="21"/>
        </w:rPr>
        <w:t xml:space="preserve"> 供应商撤回响应文件的，采购人自收到供应商书面撤回通知之日起 5 日内退还已收取的</w:t>
      </w:r>
      <w:r>
        <w:rPr>
          <w:rFonts w:hint="eastAsia"/>
          <w:sz w:val="21"/>
          <w:szCs w:val="21"/>
          <w:lang w:val="en-US"/>
        </w:rPr>
        <w:t>磋商</w:t>
      </w:r>
      <w:r>
        <w:rPr>
          <w:rFonts w:hint="eastAsia"/>
          <w:sz w:val="21"/>
          <w:szCs w:val="21"/>
        </w:rPr>
        <w:t>保证金。</w:t>
      </w:r>
    </w:p>
    <w:p>
      <w:pPr>
        <w:pStyle w:val="33"/>
        <w:tabs>
          <w:tab w:val="left" w:pos="1193"/>
        </w:tabs>
        <w:spacing w:line="360" w:lineRule="auto"/>
        <w:ind w:left="668" w:right="371" w:firstLine="0"/>
        <w:jc w:val="both"/>
        <w:rPr>
          <w:sz w:val="21"/>
          <w:szCs w:val="21"/>
        </w:rPr>
      </w:pPr>
      <w:r>
        <w:rPr>
          <w:rFonts w:hint="eastAsia"/>
          <w:sz w:val="21"/>
          <w:szCs w:val="21"/>
        </w:rPr>
        <w:t>17.2.</w:t>
      </w:r>
      <w:r>
        <w:rPr>
          <w:sz w:val="21"/>
          <w:szCs w:val="21"/>
        </w:rPr>
        <w:t>4</w:t>
      </w:r>
      <w:r>
        <w:rPr>
          <w:rFonts w:hint="eastAsia"/>
          <w:sz w:val="21"/>
          <w:szCs w:val="21"/>
        </w:rPr>
        <w:t>修改的内容为响应文件的组成部分。修改的响应文件应按照本章第3条、第4条的规定进行编制、密封、标记和递交，并标明“修改”字样。</w:t>
      </w:r>
      <w:r>
        <w:rPr>
          <w:sz w:val="21"/>
          <w:szCs w:val="21"/>
        </w:rPr>
        <w:t>。</w:t>
      </w:r>
    </w:p>
    <w:p>
      <w:pPr>
        <w:pStyle w:val="6"/>
        <w:numPr>
          <w:ilvl w:val="0"/>
          <w:numId w:val="13"/>
        </w:numPr>
        <w:jc w:val="left"/>
        <w:rPr>
          <w:sz w:val="22"/>
        </w:rPr>
      </w:pPr>
      <w:r>
        <w:rPr>
          <w:sz w:val="22"/>
        </w:rPr>
        <w:t>竞争性磋商小组</w:t>
      </w:r>
    </w:p>
    <w:p>
      <w:pPr>
        <w:pStyle w:val="33"/>
        <w:numPr>
          <w:ilvl w:val="1"/>
          <w:numId w:val="13"/>
        </w:numPr>
        <w:tabs>
          <w:tab w:val="left" w:pos="1243"/>
        </w:tabs>
        <w:spacing w:before="158" w:line="360" w:lineRule="auto"/>
        <w:ind w:left="234" w:right="368" w:firstLine="434"/>
        <w:rPr>
          <w:sz w:val="21"/>
          <w:szCs w:val="21"/>
        </w:rPr>
      </w:pPr>
      <w:r>
        <w:rPr>
          <w:spacing w:val="-2"/>
          <w:sz w:val="21"/>
          <w:szCs w:val="21"/>
        </w:rPr>
        <w:t xml:space="preserve">本项目将依法组建竞争性磋商小组，竞争性磋商小组成员由 </w:t>
      </w:r>
      <w:r>
        <w:rPr>
          <w:sz w:val="21"/>
          <w:szCs w:val="21"/>
        </w:rPr>
        <w:t>3</w:t>
      </w:r>
      <w:r>
        <w:rPr>
          <w:spacing w:val="-6"/>
          <w:sz w:val="21"/>
          <w:szCs w:val="21"/>
        </w:rPr>
        <w:t xml:space="preserve"> 人以上单数组成，竞争性磋商</w:t>
      </w:r>
      <w:r>
        <w:rPr>
          <w:sz w:val="21"/>
          <w:szCs w:val="21"/>
        </w:rPr>
        <w:t>小组及其成员应当依照政府采购的有关规定履行相关职责和义务。</w:t>
      </w:r>
    </w:p>
    <w:p>
      <w:pPr>
        <w:pStyle w:val="33"/>
        <w:numPr>
          <w:ilvl w:val="1"/>
          <w:numId w:val="13"/>
        </w:numPr>
        <w:tabs>
          <w:tab w:val="left" w:pos="1272"/>
        </w:tabs>
        <w:spacing w:before="6" w:line="360" w:lineRule="auto"/>
        <w:ind w:left="234" w:right="373" w:firstLine="434"/>
        <w:rPr>
          <w:sz w:val="21"/>
          <w:szCs w:val="21"/>
        </w:rPr>
      </w:pPr>
      <w:r>
        <w:rPr>
          <w:spacing w:val="-1"/>
          <w:sz w:val="21"/>
          <w:szCs w:val="21"/>
        </w:rPr>
        <w:t>竞争性磋商小组依法对响应文件进行评审，并根据竞争性磋商文件规定的程序、评</w:t>
      </w:r>
      <w:r>
        <w:rPr>
          <w:sz w:val="21"/>
          <w:szCs w:val="21"/>
        </w:rPr>
        <w:t>定成交的标准等事项与实质性响应竞争性磋商文件要求的供应商进行竞争性磋商。</w:t>
      </w:r>
    </w:p>
    <w:p>
      <w:pPr>
        <w:pStyle w:val="33"/>
        <w:numPr>
          <w:ilvl w:val="1"/>
          <w:numId w:val="13"/>
        </w:numPr>
        <w:tabs>
          <w:tab w:val="left" w:pos="1272"/>
        </w:tabs>
        <w:spacing w:before="5" w:line="360" w:lineRule="auto"/>
        <w:ind w:left="234" w:right="373" w:firstLine="434"/>
        <w:rPr>
          <w:sz w:val="21"/>
          <w:szCs w:val="21"/>
        </w:rPr>
      </w:pPr>
      <w:r>
        <w:rPr>
          <w:spacing w:val="-1"/>
          <w:sz w:val="21"/>
          <w:szCs w:val="21"/>
        </w:rPr>
        <w:t>竞争性磋商小组应当从质量和服务均能满足竞争性磋商文件实质性响应要求的供应</w:t>
      </w:r>
      <w:r>
        <w:rPr>
          <w:sz w:val="21"/>
          <w:szCs w:val="21"/>
        </w:rPr>
        <w:t>商中，按照评审方法和标准推荐成交候选供应商，并编写评审报告。</w:t>
      </w:r>
    </w:p>
    <w:p>
      <w:pPr>
        <w:pStyle w:val="6"/>
        <w:numPr>
          <w:ilvl w:val="0"/>
          <w:numId w:val="13"/>
        </w:numPr>
        <w:jc w:val="left"/>
        <w:rPr>
          <w:sz w:val="22"/>
        </w:rPr>
      </w:pPr>
      <w:r>
        <w:rPr>
          <w:sz w:val="22"/>
        </w:rPr>
        <w:t>响应文件的评审与竞争性磋商</w:t>
      </w:r>
    </w:p>
    <w:p>
      <w:pPr>
        <w:pStyle w:val="33"/>
        <w:numPr>
          <w:ilvl w:val="1"/>
          <w:numId w:val="13"/>
        </w:numPr>
        <w:tabs>
          <w:tab w:val="left" w:pos="1272"/>
        </w:tabs>
        <w:spacing w:before="158" w:line="360" w:lineRule="auto"/>
        <w:ind w:left="234" w:right="370" w:firstLine="434"/>
        <w:rPr>
          <w:sz w:val="21"/>
          <w:szCs w:val="21"/>
        </w:rPr>
      </w:pPr>
      <w:r>
        <w:rPr>
          <w:sz w:val="21"/>
          <w:szCs w:val="21"/>
        </w:rPr>
        <w:t>采购人和采购代理机构将在</w:t>
      </w:r>
      <w:r>
        <w:rPr>
          <w:sz w:val="21"/>
          <w:szCs w:val="21"/>
          <w:u w:val="single"/>
        </w:rPr>
        <w:t>供应商须知前附表</w:t>
      </w:r>
      <w:r>
        <w:rPr>
          <w:spacing w:val="-2"/>
          <w:sz w:val="21"/>
          <w:szCs w:val="21"/>
        </w:rPr>
        <w:t>规定的时间和地点组织</w:t>
      </w:r>
      <w:r>
        <w:rPr>
          <w:sz w:val="21"/>
          <w:szCs w:val="21"/>
        </w:rPr>
        <w:t>竞争性磋商。</w:t>
      </w:r>
    </w:p>
    <w:p>
      <w:pPr>
        <w:pStyle w:val="33"/>
        <w:numPr>
          <w:ilvl w:val="1"/>
          <w:numId w:val="13"/>
        </w:numPr>
        <w:tabs>
          <w:tab w:val="left" w:pos="1210"/>
        </w:tabs>
        <w:spacing w:before="2" w:line="360" w:lineRule="auto"/>
        <w:ind w:left="1209" w:hanging="541"/>
        <w:rPr>
          <w:sz w:val="21"/>
          <w:szCs w:val="21"/>
        </w:rPr>
      </w:pPr>
      <w:r>
        <w:rPr>
          <w:b/>
          <w:sz w:val="21"/>
          <w:szCs w:val="21"/>
        </w:rPr>
        <w:t>竞争性磋商</w:t>
      </w:r>
      <w:r>
        <w:rPr>
          <w:sz w:val="21"/>
          <w:szCs w:val="21"/>
        </w:rPr>
        <w:t>活动采用综合评分法评审。</w:t>
      </w:r>
    </w:p>
    <w:p>
      <w:pPr>
        <w:pStyle w:val="33"/>
        <w:numPr>
          <w:ilvl w:val="1"/>
          <w:numId w:val="13"/>
        </w:numPr>
        <w:tabs>
          <w:tab w:val="left" w:pos="1272"/>
        </w:tabs>
        <w:spacing w:before="158" w:line="360" w:lineRule="auto"/>
        <w:ind w:left="234" w:right="370" w:firstLine="434"/>
        <w:rPr>
          <w:sz w:val="21"/>
          <w:szCs w:val="21"/>
        </w:rPr>
      </w:pPr>
      <w:r>
        <w:rPr>
          <w:sz w:val="21"/>
          <w:szCs w:val="21"/>
        </w:rPr>
        <w:t>综合评分法，是指响应文件满足竞争性磋商文件全部实质性要求且按评审因素的量化指标评审得分最高的供应商为成交候选供应商的评审方法。</w:t>
      </w:r>
    </w:p>
    <w:p>
      <w:pPr>
        <w:pStyle w:val="33"/>
        <w:numPr>
          <w:ilvl w:val="1"/>
          <w:numId w:val="13"/>
        </w:numPr>
        <w:tabs>
          <w:tab w:val="left" w:pos="1272"/>
        </w:tabs>
        <w:spacing w:before="56" w:line="360" w:lineRule="auto"/>
        <w:ind w:left="234" w:right="369" w:firstLine="434"/>
        <w:jc w:val="both"/>
        <w:rPr>
          <w:sz w:val="21"/>
          <w:szCs w:val="21"/>
        </w:rPr>
      </w:pPr>
      <w:r>
        <w:rPr>
          <w:spacing w:val="-1"/>
          <w:sz w:val="21"/>
          <w:szCs w:val="21"/>
        </w:rPr>
        <w:t>竞争性磋商小组将按照竞争性磋商文件规定的评审方法和标准对供应商独立进行评</w:t>
      </w:r>
      <w:r>
        <w:rPr>
          <w:sz w:val="21"/>
          <w:szCs w:val="21"/>
        </w:rPr>
        <w:t>审。评审程序如下：</w:t>
      </w:r>
    </w:p>
    <w:p>
      <w:pPr>
        <w:pStyle w:val="33"/>
        <w:numPr>
          <w:ilvl w:val="2"/>
          <w:numId w:val="13"/>
        </w:numPr>
        <w:tabs>
          <w:tab w:val="left" w:pos="1512"/>
        </w:tabs>
        <w:spacing w:line="360" w:lineRule="auto"/>
        <w:ind w:right="369" w:firstLine="434"/>
        <w:jc w:val="both"/>
        <w:rPr>
          <w:sz w:val="21"/>
          <w:szCs w:val="21"/>
        </w:rPr>
      </w:pPr>
      <w:r>
        <w:rPr>
          <w:b/>
          <w:sz w:val="21"/>
          <w:szCs w:val="21"/>
        </w:rPr>
        <w:t>初审</w:t>
      </w:r>
      <w:r>
        <w:rPr>
          <w:sz w:val="21"/>
          <w:szCs w:val="21"/>
        </w:rPr>
        <w:t>。竞争性磋商小组对供应商必须满足和实质性响应的内容进行评审， 供应商未实质性响应竞争性磋商文件要求导致响应无效的，竞争性磋商小组将以书面询标的方式告知有关供应商。</w:t>
      </w:r>
    </w:p>
    <w:p>
      <w:pPr>
        <w:pStyle w:val="9"/>
        <w:spacing w:line="360" w:lineRule="auto"/>
        <w:ind w:left="234" w:right="363" w:firstLine="470"/>
        <w:jc w:val="both"/>
        <w:rPr>
          <w:sz w:val="21"/>
          <w:szCs w:val="21"/>
        </w:rPr>
      </w:pPr>
      <w:r>
        <w:rPr>
          <w:sz w:val="21"/>
          <w:szCs w:val="21"/>
        </w:rPr>
        <w:t>采购人或采购代理机构将在响应文件提交截止时间后至评审结束前查询供应商的信用记录。供应商存在不良信用记录的，其响应文件将被认定为</w:t>
      </w:r>
      <w:r>
        <w:rPr>
          <w:b/>
          <w:sz w:val="21"/>
          <w:szCs w:val="21"/>
        </w:rPr>
        <w:t>响应无效</w:t>
      </w:r>
      <w:r>
        <w:rPr>
          <w:sz w:val="21"/>
          <w:szCs w:val="21"/>
        </w:rPr>
        <w:t>。</w:t>
      </w:r>
    </w:p>
    <w:p>
      <w:pPr>
        <w:pStyle w:val="33"/>
        <w:numPr>
          <w:ilvl w:val="2"/>
          <w:numId w:val="13"/>
        </w:numPr>
        <w:tabs>
          <w:tab w:val="left" w:pos="1512"/>
        </w:tabs>
        <w:spacing w:line="360" w:lineRule="auto"/>
        <w:ind w:right="365" w:firstLine="434"/>
        <w:jc w:val="both"/>
        <w:rPr>
          <w:sz w:val="21"/>
          <w:szCs w:val="21"/>
        </w:rPr>
      </w:pPr>
      <w:r>
        <w:rPr>
          <w:b/>
          <w:sz w:val="21"/>
          <w:szCs w:val="21"/>
        </w:rPr>
        <w:t>竞争性磋商</w:t>
      </w:r>
      <w:r>
        <w:rPr>
          <w:spacing w:val="-1"/>
          <w:sz w:val="21"/>
          <w:szCs w:val="21"/>
        </w:rPr>
        <w:t>。初审合格后，竞争性磋商小组将按响应文件提交顺序</w:t>
      </w:r>
      <w:r>
        <w:rPr>
          <w:sz w:val="21"/>
          <w:szCs w:val="21"/>
        </w:rPr>
        <w:t>集中与单一供应商分别进行竞争性磋商，并给予所有参加竞争性磋商的供应商平等的竞争性磋商机会，如供应商未到竞争性磋商现场的，视同放弃该权利。</w:t>
      </w:r>
    </w:p>
    <w:p>
      <w:pPr>
        <w:pStyle w:val="33"/>
        <w:numPr>
          <w:ilvl w:val="2"/>
          <w:numId w:val="13"/>
        </w:numPr>
        <w:tabs>
          <w:tab w:val="left" w:pos="1512"/>
        </w:tabs>
        <w:spacing w:before="56" w:line="360" w:lineRule="auto"/>
        <w:ind w:right="370" w:firstLine="434"/>
        <w:jc w:val="both"/>
        <w:rPr>
          <w:sz w:val="21"/>
          <w:szCs w:val="21"/>
        </w:rPr>
      </w:pPr>
      <w:r>
        <w:rPr>
          <w:b/>
          <w:sz w:val="21"/>
          <w:szCs w:val="21"/>
        </w:rPr>
        <w:t>综合评分</w:t>
      </w:r>
      <w:r>
        <w:rPr>
          <w:spacing w:val="-1"/>
          <w:sz w:val="21"/>
          <w:szCs w:val="21"/>
        </w:rPr>
        <w:t>。竞争性磋商小组只对通过初审，实质上响应竞争性磋商文件要求的响</w:t>
      </w:r>
      <w:r>
        <w:rPr>
          <w:sz w:val="21"/>
          <w:szCs w:val="21"/>
        </w:rPr>
        <w:t>应文件进行综合评分。经竞争性磋商确定最终采购需求和提交最后报价的供应商后， 由竞争性磋商小组采用综合评分法对提交最后报价的供应商的响应文件和最后报价进行综合评分。</w:t>
      </w:r>
    </w:p>
    <w:p>
      <w:pPr>
        <w:pStyle w:val="33"/>
        <w:numPr>
          <w:ilvl w:val="1"/>
          <w:numId w:val="13"/>
        </w:numPr>
        <w:tabs>
          <w:tab w:val="left" w:pos="1210"/>
        </w:tabs>
        <w:spacing w:line="360" w:lineRule="auto"/>
        <w:ind w:left="1209" w:hanging="541"/>
        <w:jc w:val="both"/>
        <w:rPr>
          <w:sz w:val="21"/>
          <w:szCs w:val="21"/>
        </w:rPr>
      </w:pPr>
      <w:r>
        <w:rPr>
          <w:sz w:val="21"/>
          <w:szCs w:val="21"/>
        </w:rPr>
        <w:t>相关说明。</w:t>
      </w:r>
    </w:p>
    <w:p>
      <w:pPr>
        <w:pStyle w:val="33"/>
        <w:numPr>
          <w:ilvl w:val="2"/>
          <w:numId w:val="13"/>
        </w:numPr>
        <w:tabs>
          <w:tab w:val="left" w:pos="1433"/>
        </w:tabs>
        <w:spacing w:before="160" w:line="360" w:lineRule="auto"/>
        <w:ind w:left="1432" w:hanging="764"/>
        <w:jc w:val="both"/>
        <w:rPr>
          <w:sz w:val="21"/>
          <w:szCs w:val="21"/>
        </w:rPr>
      </w:pPr>
      <w:r>
        <w:rPr>
          <w:spacing w:val="-10"/>
          <w:sz w:val="21"/>
          <w:szCs w:val="21"/>
        </w:rPr>
        <w:t>为保证竞争性磋商活动顺利进行，供应商可派相关技术人员进行现场答疑</w:t>
      </w:r>
      <w:r>
        <w:rPr>
          <w:rFonts w:hint="eastAsia"/>
          <w:spacing w:val="-10"/>
          <w:sz w:val="21"/>
          <w:szCs w:val="21"/>
        </w:rPr>
        <w:t>（</w:t>
      </w:r>
      <w:r>
        <w:rPr>
          <w:rFonts w:hint="eastAsia"/>
          <w:spacing w:val="-10"/>
          <w:sz w:val="21"/>
          <w:szCs w:val="21"/>
          <w:lang w:val="en-US"/>
        </w:rPr>
        <w:t>如需</w:t>
      </w:r>
      <w:r>
        <w:rPr>
          <w:rFonts w:hint="eastAsia"/>
          <w:spacing w:val="-10"/>
          <w:sz w:val="21"/>
          <w:szCs w:val="21"/>
        </w:rPr>
        <w:t>）</w:t>
      </w:r>
      <w:r>
        <w:rPr>
          <w:spacing w:val="-10"/>
          <w:sz w:val="21"/>
          <w:szCs w:val="21"/>
        </w:rPr>
        <w:t>；</w:t>
      </w:r>
    </w:p>
    <w:p>
      <w:pPr>
        <w:pStyle w:val="33"/>
        <w:numPr>
          <w:ilvl w:val="2"/>
          <w:numId w:val="13"/>
        </w:numPr>
        <w:tabs>
          <w:tab w:val="left" w:pos="1512"/>
        </w:tabs>
        <w:spacing w:before="159" w:line="360" w:lineRule="auto"/>
        <w:ind w:right="366" w:firstLine="434"/>
        <w:jc w:val="both"/>
        <w:rPr>
          <w:sz w:val="21"/>
          <w:szCs w:val="21"/>
        </w:rPr>
      </w:pPr>
      <w:r>
        <w:rPr>
          <w:sz w:val="21"/>
          <w:szCs w:val="21"/>
        </w:rPr>
        <w:t>竞争性磋商小组根据与供应商竞争性磋商情况可能实质性变动竞争性磋商文件的内容， 包括采购需求中的技术、服务要求以及合同草案条款。竞争性磋商文件有实质性变动的，经采购人代表确认作为竞争性磋商文件的有效组成部分，竞争性磋商小组将以书面形式通知所有参加竞争性磋商的供应商。</w:t>
      </w:r>
    </w:p>
    <w:p>
      <w:pPr>
        <w:pStyle w:val="33"/>
        <w:numPr>
          <w:ilvl w:val="2"/>
          <w:numId w:val="13"/>
        </w:numPr>
        <w:tabs>
          <w:tab w:val="left" w:pos="1512"/>
        </w:tabs>
        <w:spacing w:line="360" w:lineRule="auto"/>
        <w:ind w:right="373" w:firstLine="434"/>
        <w:jc w:val="both"/>
        <w:rPr>
          <w:sz w:val="21"/>
          <w:szCs w:val="21"/>
        </w:rPr>
      </w:pPr>
      <w:r>
        <w:rPr>
          <w:spacing w:val="-1"/>
          <w:sz w:val="21"/>
          <w:szCs w:val="21"/>
        </w:rPr>
        <w:t>竞争性磋商过程中，竞争性磋商小组发现供应商的报价或者某些分项报价明显不</w:t>
      </w:r>
      <w:r>
        <w:rPr>
          <w:sz w:val="21"/>
          <w:szCs w:val="21"/>
        </w:rPr>
        <w:t>合理或者低于成本，有可能影响商品质量和不能诚信履约的，应当要求其在规定的期限内提供书面文件予以解释说明，并提交相关证明材料；否则，竞争性磋商小组可以取消该供应商的成交候选资格，按顺序由排在后面的成交候选供应商递补，以此类推。</w:t>
      </w:r>
    </w:p>
    <w:p>
      <w:pPr>
        <w:pStyle w:val="33"/>
        <w:numPr>
          <w:ilvl w:val="2"/>
          <w:numId w:val="13"/>
        </w:numPr>
        <w:tabs>
          <w:tab w:val="left" w:pos="1512"/>
        </w:tabs>
        <w:spacing w:line="360" w:lineRule="auto"/>
        <w:ind w:right="367" w:firstLine="434"/>
        <w:jc w:val="both"/>
        <w:rPr>
          <w:sz w:val="21"/>
          <w:szCs w:val="21"/>
        </w:rPr>
      </w:pPr>
      <w:r>
        <w:rPr>
          <w:sz w:val="21"/>
          <w:szCs w:val="21"/>
        </w:rPr>
        <w:t>无论何种原因，即使供应商竞争性磋商时携带了证书材料的原件，但响应文件中未提供与之内容完全一致的扫描件或影印件的，竞争性磋商小组可以视同其未提供。</w:t>
      </w:r>
    </w:p>
    <w:p>
      <w:pPr>
        <w:pStyle w:val="33"/>
        <w:numPr>
          <w:ilvl w:val="2"/>
          <w:numId w:val="13"/>
        </w:numPr>
        <w:tabs>
          <w:tab w:val="left" w:pos="1512"/>
        </w:tabs>
        <w:spacing w:line="360" w:lineRule="auto"/>
        <w:ind w:right="373" w:firstLine="434"/>
        <w:jc w:val="both"/>
        <w:rPr>
          <w:sz w:val="21"/>
          <w:szCs w:val="21"/>
        </w:rPr>
      </w:pPr>
      <w:r>
        <w:rPr>
          <w:spacing w:val="-1"/>
          <w:sz w:val="21"/>
          <w:szCs w:val="21"/>
        </w:rPr>
        <w:t>竞争性磋商小组决定响应文件的响应性及符合性只根据响应文件本身的内</w:t>
      </w:r>
      <w:r>
        <w:rPr>
          <w:sz w:val="21"/>
          <w:szCs w:val="21"/>
        </w:rPr>
        <w:t>容，而不寻求其他外部证据。</w:t>
      </w:r>
    </w:p>
    <w:p>
      <w:pPr>
        <w:pStyle w:val="33"/>
        <w:numPr>
          <w:ilvl w:val="1"/>
          <w:numId w:val="13"/>
        </w:numPr>
        <w:tabs>
          <w:tab w:val="left" w:pos="1272"/>
        </w:tabs>
        <w:spacing w:before="1" w:line="360" w:lineRule="auto"/>
        <w:ind w:left="234" w:right="366" w:firstLine="434"/>
        <w:jc w:val="both"/>
        <w:rPr>
          <w:sz w:val="21"/>
          <w:szCs w:val="21"/>
        </w:rPr>
      </w:pPr>
      <w:r>
        <w:rPr>
          <w:sz w:val="21"/>
          <w:szCs w:val="21"/>
        </w:rPr>
        <w:t>供应商授权代表对竞争性磋商过程有疑义，以及认为采购人、采购代理机构相关工作人员有需要回避的情形的，应当场提出询问或者回避申请，并说明理由。</w:t>
      </w:r>
    </w:p>
    <w:p>
      <w:pPr>
        <w:pStyle w:val="6"/>
        <w:numPr>
          <w:ilvl w:val="0"/>
          <w:numId w:val="13"/>
        </w:numPr>
        <w:jc w:val="left"/>
        <w:rPr>
          <w:sz w:val="22"/>
        </w:rPr>
      </w:pPr>
      <w:r>
        <w:rPr>
          <w:sz w:val="22"/>
        </w:rPr>
        <w:t>终止竞争性磋商</w:t>
      </w:r>
    </w:p>
    <w:p>
      <w:pPr>
        <w:pStyle w:val="33"/>
        <w:numPr>
          <w:ilvl w:val="1"/>
          <w:numId w:val="13"/>
        </w:numPr>
        <w:tabs>
          <w:tab w:val="left" w:pos="1272"/>
        </w:tabs>
        <w:spacing w:before="161" w:line="360" w:lineRule="auto"/>
        <w:ind w:left="234" w:right="370" w:firstLine="434"/>
        <w:rPr>
          <w:sz w:val="21"/>
          <w:szCs w:val="21"/>
        </w:rPr>
      </w:pPr>
      <w:r>
        <w:rPr>
          <w:spacing w:val="-1"/>
          <w:sz w:val="21"/>
          <w:szCs w:val="21"/>
        </w:rPr>
        <w:t>出现下列情况之一时，采购人和采购代理机构有权宣布终止</w:t>
      </w:r>
      <w:r>
        <w:rPr>
          <w:b/>
          <w:spacing w:val="-1"/>
          <w:sz w:val="21"/>
          <w:szCs w:val="21"/>
        </w:rPr>
        <w:t>竞争性磋商</w:t>
      </w:r>
      <w:r>
        <w:rPr>
          <w:sz w:val="21"/>
          <w:szCs w:val="21"/>
        </w:rPr>
        <w:t>采购，并将理由通知所有供应商：</w:t>
      </w:r>
    </w:p>
    <w:p>
      <w:pPr>
        <w:pStyle w:val="33"/>
        <w:numPr>
          <w:ilvl w:val="0"/>
          <w:numId w:val="14"/>
        </w:numPr>
        <w:tabs>
          <w:tab w:val="left" w:pos="1271"/>
        </w:tabs>
        <w:spacing w:before="5" w:line="360" w:lineRule="auto"/>
        <w:ind w:hanging="602"/>
        <w:rPr>
          <w:sz w:val="21"/>
          <w:szCs w:val="21"/>
        </w:rPr>
      </w:pPr>
      <w:r>
        <w:rPr>
          <w:sz w:val="21"/>
          <w:szCs w:val="21"/>
        </w:rPr>
        <w:t>有效供应商数量不足，导致本次竞争性磋商缺乏竞争的；</w:t>
      </w:r>
    </w:p>
    <w:p>
      <w:pPr>
        <w:pStyle w:val="33"/>
        <w:numPr>
          <w:ilvl w:val="0"/>
          <w:numId w:val="14"/>
        </w:numPr>
        <w:tabs>
          <w:tab w:val="left" w:pos="1271"/>
        </w:tabs>
        <w:spacing w:before="161" w:line="360" w:lineRule="auto"/>
        <w:ind w:hanging="602"/>
        <w:rPr>
          <w:sz w:val="21"/>
          <w:szCs w:val="21"/>
        </w:rPr>
      </w:pPr>
      <w:r>
        <w:rPr>
          <w:sz w:val="21"/>
          <w:szCs w:val="21"/>
        </w:rPr>
        <w:t>出现影响采购公正的违法、违规行为的；</w:t>
      </w:r>
    </w:p>
    <w:p>
      <w:pPr>
        <w:pStyle w:val="33"/>
        <w:numPr>
          <w:ilvl w:val="0"/>
          <w:numId w:val="14"/>
        </w:numPr>
        <w:tabs>
          <w:tab w:val="left" w:pos="1271"/>
        </w:tabs>
        <w:spacing w:before="158" w:line="360" w:lineRule="auto"/>
        <w:ind w:hanging="602"/>
        <w:rPr>
          <w:sz w:val="21"/>
          <w:szCs w:val="21"/>
        </w:rPr>
      </w:pPr>
      <w:r>
        <w:rPr>
          <w:sz w:val="21"/>
          <w:szCs w:val="21"/>
        </w:rPr>
        <w:t>因重大变故，采购任务取消的；</w:t>
      </w:r>
    </w:p>
    <w:p>
      <w:pPr>
        <w:pStyle w:val="33"/>
        <w:numPr>
          <w:ilvl w:val="0"/>
          <w:numId w:val="14"/>
        </w:numPr>
        <w:tabs>
          <w:tab w:val="left" w:pos="1271"/>
        </w:tabs>
        <w:spacing w:before="160" w:line="360" w:lineRule="auto"/>
        <w:ind w:hanging="602"/>
        <w:rPr>
          <w:sz w:val="21"/>
          <w:szCs w:val="21"/>
        </w:rPr>
      </w:pPr>
      <w:r>
        <w:rPr>
          <w:sz w:val="21"/>
          <w:szCs w:val="21"/>
        </w:rPr>
        <w:t>政府采购法律法规规定的其他情形。</w:t>
      </w:r>
    </w:p>
    <w:p>
      <w:pPr>
        <w:pStyle w:val="6"/>
        <w:numPr>
          <w:ilvl w:val="0"/>
          <w:numId w:val="13"/>
        </w:numPr>
        <w:jc w:val="left"/>
        <w:rPr>
          <w:sz w:val="22"/>
        </w:rPr>
      </w:pPr>
      <w:r>
        <w:rPr>
          <w:sz w:val="22"/>
        </w:rPr>
        <w:t>响应文件的澄清、说明或更正</w:t>
      </w:r>
    </w:p>
    <w:p>
      <w:pPr>
        <w:pStyle w:val="33"/>
        <w:numPr>
          <w:ilvl w:val="1"/>
          <w:numId w:val="13"/>
        </w:numPr>
        <w:tabs>
          <w:tab w:val="left" w:pos="1306"/>
        </w:tabs>
        <w:spacing w:before="160" w:line="360" w:lineRule="auto"/>
        <w:ind w:left="234" w:right="372" w:firstLine="470"/>
        <w:jc w:val="both"/>
        <w:rPr>
          <w:sz w:val="21"/>
          <w:szCs w:val="21"/>
        </w:rPr>
      </w:pPr>
      <w:r>
        <w:rPr>
          <w:spacing w:val="-1"/>
          <w:sz w:val="21"/>
          <w:szCs w:val="21"/>
        </w:rPr>
        <w:t>竞争性磋商小组将对响应文件的有效性、完整性和响应程度进行审查，审查</w:t>
      </w:r>
      <w:r>
        <w:rPr>
          <w:sz w:val="21"/>
          <w:szCs w:val="21"/>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33"/>
        <w:numPr>
          <w:ilvl w:val="1"/>
          <w:numId w:val="13"/>
        </w:numPr>
        <w:tabs>
          <w:tab w:val="left" w:pos="1246"/>
        </w:tabs>
        <w:spacing w:line="360" w:lineRule="auto"/>
        <w:ind w:left="234" w:right="373" w:firstLine="470"/>
        <w:jc w:val="both"/>
        <w:rPr>
          <w:sz w:val="21"/>
          <w:szCs w:val="21"/>
        </w:rPr>
      </w:pPr>
      <w:r>
        <w:rPr>
          <w:spacing w:val="-11"/>
          <w:sz w:val="21"/>
          <w:szCs w:val="21"/>
        </w:rPr>
        <w:t>竞争性磋商小组要求供应商澄清、说明或者更正响应文件应当以书面形式</w:t>
      </w:r>
      <w:r>
        <w:rPr>
          <w:sz w:val="21"/>
          <w:szCs w:val="21"/>
        </w:rPr>
        <w:t>（</w:t>
      </w:r>
      <w:r>
        <w:rPr>
          <w:spacing w:val="-17"/>
          <w:sz w:val="21"/>
          <w:szCs w:val="21"/>
        </w:rPr>
        <w:t>询</w:t>
      </w:r>
      <w:r>
        <w:rPr>
          <w:spacing w:val="4"/>
          <w:sz w:val="21"/>
          <w:szCs w:val="21"/>
        </w:rPr>
        <w:t>标）</w:t>
      </w:r>
      <w:r>
        <w:rPr>
          <w:sz w:val="21"/>
          <w:szCs w:val="21"/>
        </w:rPr>
        <w:t>作出。供应商的澄清、说明或者更正应当由法定代表人或其授权代表签字或者加盖公章。</w:t>
      </w:r>
    </w:p>
    <w:p>
      <w:pPr>
        <w:pStyle w:val="6"/>
        <w:numPr>
          <w:ilvl w:val="0"/>
          <w:numId w:val="13"/>
        </w:numPr>
        <w:jc w:val="left"/>
        <w:rPr>
          <w:sz w:val="22"/>
        </w:rPr>
      </w:pPr>
      <w:r>
        <w:rPr>
          <w:sz w:val="22"/>
        </w:rPr>
        <w:t>最后报价</w:t>
      </w:r>
    </w:p>
    <w:p>
      <w:pPr>
        <w:pStyle w:val="33"/>
        <w:numPr>
          <w:ilvl w:val="1"/>
          <w:numId w:val="13"/>
        </w:numPr>
        <w:tabs>
          <w:tab w:val="left" w:pos="1272"/>
        </w:tabs>
        <w:spacing w:before="157" w:line="360" w:lineRule="auto"/>
        <w:ind w:left="234" w:right="373" w:firstLine="434"/>
        <w:rPr>
          <w:sz w:val="21"/>
          <w:szCs w:val="21"/>
        </w:rPr>
      </w:pPr>
      <w:r>
        <w:rPr>
          <w:spacing w:val="-1"/>
          <w:sz w:val="21"/>
          <w:szCs w:val="21"/>
        </w:rPr>
        <w:t>竞争性磋商只进行</w:t>
      </w:r>
      <w:r>
        <w:rPr>
          <w:rFonts w:hint="eastAsia"/>
          <w:spacing w:val="-1"/>
          <w:sz w:val="21"/>
          <w:szCs w:val="21"/>
          <w:lang w:val="en-US"/>
        </w:rPr>
        <w:t>一</w:t>
      </w:r>
      <w:r>
        <w:rPr>
          <w:spacing w:val="-1"/>
          <w:sz w:val="21"/>
          <w:szCs w:val="21"/>
        </w:rPr>
        <w:t>轮报价</w:t>
      </w:r>
      <w:r>
        <w:rPr>
          <w:sz w:val="21"/>
          <w:szCs w:val="21"/>
        </w:rPr>
        <w:t>。</w:t>
      </w:r>
    </w:p>
    <w:p>
      <w:pPr>
        <w:pStyle w:val="33"/>
        <w:numPr>
          <w:ilvl w:val="1"/>
          <w:numId w:val="13"/>
        </w:numPr>
        <w:tabs>
          <w:tab w:val="left" w:pos="1272"/>
        </w:tabs>
        <w:spacing w:before="5" w:line="360" w:lineRule="auto"/>
        <w:ind w:left="234" w:right="373" w:firstLine="434"/>
        <w:rPr>
          <w:sz w:val="21"/>
          <w:szCs w:val="21"/>
        </w:rPr>
      </w:pPr>
      <w:r>
        <w:rPr>
          <w:spacing w:val="-1"/>
          <w:sz w:val="21"/>
          <w:szCs w:val="21"/>
        </w:rPr>
        <w:t>最后报价是供应商响应文件的有效组成部分，最后报价也是签订合同</w:t>
      </w:r>
      <w:r>
        <w:rPr>
          <w:sz w:val="21"/>
          <w:szCs w:val="21"/>
        </w:rPr>
        <w:t>的依据。</w:t>
      </w:r>
    </w:p>
    <w:p>
      <w:pPr>
        <w:pStyle w:val="33"/>
        <w:numPr>
          <w:ilvl w:val="1"/>
          <w:numId w:val="13"/>
        </w:numPr>
        <w:tabs>
          <w:tab w:val="left" w:pos="1210"/>
        </w:tabs>
        <w:spacing w:before="5" w:line="360" w:lineRule="auto"/>
        <w:ind w:left="234" w:right="250" w:firstLine="434"/>
        <w:rPr>
          <w:sz w:val="21"/>
          <w:szCs w:val="21"/>
        </w:rPr>
      </w:pPr>
      <w:r>
        <w:rPr>
          <w:spacing w:val="-9"/>
          <w:sz w:val="21"/>
          <w:szCs w:val="21"/>
        </w:rPr>
        <w:t>根据《政府采购促进中小企业发展暂</w:t>
      </w:r>
      <w:r>
        <w:rPr>
          <w:sz w:val="21"/>
          <w:szCs w:val="21"/>
        </w:rPr>
        <w:t>行办法》（财库[2011]181 号）、《安徽省财政厅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pPr>
        <w:pStyle w:val="9"/>
        <w:spacing w:before="56" w:line="360" w:lineRule="auto"/>
        <w:ind w:left="234" w:right="368" w:firstLine="434"/>
        <w:jc w:val="both"/>
        <w:rPr>
          <w:sz w:val="21"/>
          <w:szCs w:val="21"/>
        </w:rPr>
      </w:pPr>
      <w:r>
        <w:rPr>
          <w:spacing w:val="-9"/>
          <w:sz w:val="21"/>
          <w:szCs w:val="21"/>
        </w:rPr>
        <w:t>联合体协议中约定，小型、微型企业和监狱企业的协议合同金额占到联合体</w:t>
      </w:r>
      <w:r>
        <w:rPr>
          <w:spacing w:val="-8"/>
          <w:sz w:val="21"/>
          <w:szCs w:val="21"/>
        </w:rPr>
        <w:t xml:space="preserve">协议合同总金额 </w:t>
      </w:r>
      <w:r>
        <w:rPr>
          <w:sz w:val="21"/>
          <w:szCs w:val="21"/>
        </w:rPr>
        <w:t>30%</w:t>
      </w:r>
      <w:r>
        <w:rPr>
          <w:spacing w:val="-9"/>
          <w:sz w:val="21"/>
          <w:szCs w:val="21"/>
        </w:rPr>
        <w:t>以上的，可给予联合体报价按照供应商须知前附表中规定的</w:t>
      </w:r>
      <w:r>
        <w:rPr>
          <w:sz w:val="21"/>
          <w:szCs w:val="21"/>
        </w:rPr>
        <w:t>标准扣除后参与评审。</w:t>
      </w:r>
    </w:p>
    <w:p>
      <w:pPr>
        <w:pStyle w:val="9"/>
        <w:spacing w:line="360" w:lineRule="auto"/>
        <w:ind w:left="234" w:right="297" w:firstLine="434"/>
        <w:rPr>
          <w:sz w:val="21"/>
          <w:szCs w:val="21"/>
        </w:rPr>
      </w:pPr>
      <w:r>
        <w:rPr>
          <w:sz w:val="21"/>
          <w:szCs w:val="21"/>
        </w:rPr>
        <w:t>联合体各方均为小型、微型企业和监狱企业的，联合体视同为小型、微型企业和监狱企业。</w:t>
      </w:r>
    </w:p>
    <w:p>
      <w:pPr>
        <w:pStyle w:val="6"/>
        <w:numPr>
          <w:ilvl w:val="0"/>
          <w:numId w:val="13"/>
        </w:numPr>
        <w:jc w:val="left"/>
        <w:rPr>
          <w:sz w:val="22"/>
        </w:rPr>
      </w:pPr>
      <w:r>
        <w:rPr>
          <w:sz w:val="22"/>
        </w:rPr>
        <w:t>成交候选供应商的推荐原则及标准</w:t>
      </w:r>
    </w:p>
    <w:p>
      <w:pPr>
        <w:pStyle w:val="33"/>
        <w:numPr>
          <w:ilvl w:val="1"/>
          <w:numId w:val="13"/>
        </w:numPr>
        <w:tabs>
          <w:tab w:val="left" w:pos="1272"/>
        </w:tabs>
        <w:spacing w:before="158" w:line="360" w:lineRule="auto"/>
        <w:ind w:left="234" w:right="368" w:firstLine="434"/>
        <w:jc w:val="both"/>
        <w:rPr>
          <w:sz w:val="21"/>
          <w:szCs w:val="21"/>
        </w:rPr>
      </w:pPr>
      <w:r>
        <w:rPr>
          <w:spacing w:val="-1"/>
          <w:sz w:val="21"/>
          <w:szCs w:val="21"/>
        </w:rPr>
        <w:t>竞争性磋商小组依据本项目竞争性磋商文件所约定的评审方法和标准，按照有效供</w:t>
      </w:r>
      <w:r>
        <w:rPr>
          <w:sz w:val="21"/>
          <w:szCs w:val="21"/>
        </w:rPr>
        <w:t>应商综合总得分由高到低依次推荐成交候选供应商。综合总得分出现两家或两家以上相同者，按报价由低到高排序推荐成交候选供应商；综合总得分且最后报价均相同的，由竞争性磋商小组按照技术指标优劣顺序推荐成交候选供应商。</w:t>
      </w:r>
    </w:p>
    <w:p>
      <w:pPr>
        <w:pStyle w:val="6"/>
        <w:numPr>
          <w:ilvl w:val="0"/>
          <w:numId w:val="13"/>
        </w:numPr>
        <w:jc w:val="left"/>
        <w:rPr>
          <w:sz w:val="22"/>
        </w:rPr>
      </w:pPr>
      <w:r>
        <w:rPr>
          <w:sz w:val="22"/>
        </w:rPr>
        <w:t>确定成交候选供应商和成交供应商</w:t>
      </w:r>
    </w:p>
    <w:p>
      <w:pPr>
        <w:pStyle w:val="33"/>
        <w:numPr>
          <w:ilvl w:val="1"/>
          <w:numId w:val="13"/>
        </w:numPr>
        <w:tabs>
          <w:tab w:val="left" w:pos="1306"/>
        </w:tabs>
        <w:spacing w:before="161" w:line="360" w:lineRule="auto"/>
        <w:ind w:left="234" w:right="366" w:firstLine="470"/>
        <w:jc w:val="both"/>
        <w:rPr>
          <w:sz w:val="21"/>
          <w:szCs w:val="21"/>
        </w:rPr>
      </w:pPr>
      <w:r>
        <w:rPr>
          <w:sz w:val="21"/>
          <w:szCs w:val="21"/>
        </w:rPr>
        <w:t>竞争性磋商小组根据综合评分的结果和供应商须知前附表中规定确定成交候选供应商，并标明排列顺序。排名第一的成交候选供应商经采购人或采购人授权的竞争性磋商小组确定为成交供应商后，由采购代理机构在指定媒体上予以公告。</w:t>
      </w:r>
    </w:p>
    <w:p>
      <w:pPr>
        <w:pStyle w:val="6"/>
        <w:numPr>
          <w:ilvl w:val="0"/>
          <w:numId w:val="13"/>
        </w:numPr>
        <w:jc w:val="left"/>
        <w:rPr>
          <w:sz w:val="22"/>
        </w:rPr>
      </w:pPr>
      <w:r>
        <w:rPr>
          <w:sz w:val="22"/>
        </w:rPr>
        <w:t>编写评审报告</w:t>
      </w:r>
    </w:p>
    <w:p>
      <w:pPr>
        <w:pStyle w:val="33"/>
        <w:numPr>
          <w:ilvl w:val="1"/>
          <w:numId w:val="13"/>
        </w:numPr>
        <w:tabs>
          <w:tab w:val="left" w:pos="1272"/>
        </w:tabs>
        <w:spacing w:before="158" w:line="360" w:lineRule="auto"/>
        <w:ind w:left="234" w:right="360" w:firstLine="434"/>
        <w:jc w:val="both"/>
        <w:rPr>
          <w:sz w:val="21"/>
          <w:szCs w:val="21"/>
        </w:rPr>
      </w:pPr>
      <w:r>
        <w:rPr>
          <w:sz w:val="21"/>
          <w:szCs w:val="21"/>
        </w:rPr>
        <w:t>评审报告是根据全体竞争性磋商小组成员签字的原始评审记录和评审结果编写的报告，评审报告由竞争性磋商小组全体成员签字。对评审结论持有异议的竞争性磋商小组成员可以书面方式阐述其不同意见和理由。竞争性磋商小组成员拒绝在评审报告上签字且不陈述其不同意见和理由的，视为同意评审结论。</w:t>
      </w:r>
    </w:p>
    <w:p>
      <w:pPr>
        <w:pStyle w:val="6"/>
        <w:numPr>
          <w:ilvl w:val="0"/>
          <w:numId w:val="13"/>
        </w:numPr>
        <w:jc w:val="left"/>
        <w:rPr>
          <w:sz w:val="22"/>
        </w:rPr>
      </w:pPr>
      <w:r>
        <w:rPr>
          <w:sz w:val="22"/>
        </w:rPr>
        <w:t>保密要求</w:t>
      </w:r>
    </w:p>
    <w:p>
      <w:pPr>
        <w:pStyle w:val="33"/>
        <w:numPr>
          <w:ilvl w:val="1"/>
          <w:numId w:val="13"/>
        </w:numPr>
        <w:tabs>
          <w:tab w:val="left" w:pos="1210"/>
        </w:tabs>
        <w:spacing w:before="161" w:line="360" w:lineRule="auto"/>
        <w:ind w:left="1209" w:hanging="541"/>
        <w:rPr>
          <w:sz w:val="21"/>
          <w:szCs w:val="21"/>
        </w:rPr>
      </w:pPr>
      <w:r>
        <w:rPr>
          <w:sz w:val="21"/>
          <w:szCs w:val="21"/>
        </w:rPr>
        <w:t>评审将在严格保密的情况下进行。</w:t>
      </w:r>
    </w:p>
    <w:p>
      <w:pPr>
        <w:pStyle w:val="33"/>
        <w:numPr>
          <w:ilvl w:val="1"/>
          <w:numId w:val="13"/>
        </w:numPr>
        <w:tabs>
          <w:tab w:val="left" w:pos="1272"/>
        </w:tabs>
        <w:spacing w:before="158" w:line="360" w:lineRule="auto"/>
        <w:ind w:left="234" w:right="368" w:firstLine="434"/>
        <w:rPr>
          <w:sz w:val="21"/>
          <w:szCs w:val="21"/>
        </w:rPr>
      </w:pPr>
      <w:r>
        <w:rPr>
          <w:sz w:val="21"/>
          <w:szCs w:val="21"/>
        </w:rPr>
        <w:t>有关人员应当遵守评审工作纪律，不得泄露评审文件、评审情况和评审中获悉的国家秘密、商业秘密。</w:t>
      </w:r>
    </w:p>
    <w:p>
      <w:pPr>
        <w:pStyle w:val="6"/>
        <w:numPr>
          <w:ilvl w:val="0"/>
          <w:numId w:val="13"/>
        </w:numPr>
        <w:jc w:val="left"/>
        <w:rPr>
          <w:sz w:val="22"/>
        </w:rPr>
      </w:pPr>
      <w:r>
        <w:rPr>
          <w:sz w:val="22"/>
        </w:rPr>
        <w:t>成交结果公告</w:t>
      </w:r>
    </w:p>
    <w:p>
      <w:pPr>
        <w:pStyle w:val="33"/>
        <w:numPr>
          <w:ilvl w:val="1"/>
          <w:numId w:val="13"/>
        </w:numPr>
        <w:tabs>
          <w:tab w:val="left" w:pos="1272"/>
        </w:tabs>
        <w:spacing w:before="158" w:line="360" w:lineRule="auto"/>
        <w:ind w:left="234" w:right="368" w:firstLine="434"/>
        <w:rPr>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竞争性磋商结束后</w:t>
      </w:r>
      <w:r>
        <w:rPr>
          <w:sz w:val="21"/>
          <w:szCs w:val="21"/>
          <w:lang w:val="en-US"/>
        </w:rPr>
        <w:t>，</w:t>
      </w:r>
      <w:r>
        <w:rPr>
          <w:sz w:val="21"/>
          <w:szCs w:val="21"/>
        </w:rPr>
        <w:t>采购代理机构将在</w:t>
      </w:r>
      <w:r>
        <w:rPr>
          <w:rFonts w:hint="eastAsia"/>
          <w:u w:val="single"/>
        </w:rPr>
        <w:t>安徽养城建设发展集团有限公司</w:t>
      </w:r>
      <w:r>
        <w:rPr>
          <w:rFonts w:hint="eastAsia"/>
        </w:rPr>
        <w:t>网站</w:t>
      </w:r>
      <w:r>
        <w:fldChar w:fldCharType="begin"/>
      </w:r>
      <w:r>
        <w:instrText xml:space="preserve"> HYPERLINK "http://www.ahycjt.cn/" </w:instrText>
      </w:r>
      <w:r>
        <w:fldChar w:fldCharType="separate"/>
      </w:r>
      <w:r>
        <w:rPr>
          <w:rStyle w:val="23"/>
          <w:sz w:val="24"/>
          <w:szCs w:val="24"/>
          <w:lang w:val="en-US"/>
        </w:rPr>
        <w:t>(http://www.ahycjt.cn/)</w:t>
      </w:r>
      <w:r>
        <w:rPr>
          <w:rStyle w:val="23"/>
          <w:sz w:val="24"/>
          <w:szCs w:val="24"/>
          <w:lang w:val="en-US"/>
        </w:rPr>
        <w:fldChar w:fldCharType="end"/>
      </w:r>
      <w:r>
        <w:rPr>
          <w:sz w:val="21"/>
          <w:szCs w:val="21"/>
        </w:rPr>
        <w:t>上发布成交结果公告。</w:t>
      </w:r>
    </w:p>
    <w:p>
      <w:pPr>
        <w:pStyle w:val="33"/>
        <w:numPr>
          <w:ilvl w:val="1"/>
          <w:numId w:val="13"/>
        </w:numPr>
        <w:tabs>
          <w:tab w:val="left" w:pos="1272"/>
        </w:tabs>
        <w:spacing w:before="56" w:line="360" w:lineRule="auto"/>
        <w:ind w:left="234" w:right="369" w:firstLine="434"/>
        <w:rPr>
          <w:sz w:val="21"/>
          <w:szCs w:val="21"/>
        </w:rPr>
      </w:pPr>
      <w:r>
        <w:rPr>
          <w:spacing w:val="-1"/>
          <w:sz w:val="21"/>
          <w:szCs w:val="21"/>
        </w:rPr>
        <w:t>成交结果公告内容应当包括采购人及其委托的采购代理机构的名称、</w:t>
      </w:r>
      <w:r>
        <w:rPr>
          <w:sz w:val="21"/>
          <w:szCs w:val="21"/>
        </w:rPr>
        <w:t>地址、联系方式，项目名称和项目编号，成交供应商名称、地址和成交金额，主要成交标的的名称、规格型号、数量、单价、服务要求，成交结果公告期限、评审专家名单以及供应商须知前附表中约定进行公告的内容。</w:t>
      </w:r>
    </w:p>
    <w:p>
      <w:pPr>
        <w:pStyle w:val="33"/>
        <w:tabs>
          <w:tab w:val="left" w:pos="1272"/>
        </w:tabs>
        <w:spacing w:before="158" w:line="360" w:lineRule="auto"/>
        <w:ind w:left="668" w:right="368" w:firstLine="0"/>
        <w:rPr>
          <w:b/>
          <w:sz w:val="21"/>
          <w:szCs w:val="21"/>
        </w:rPr>
      </w:pPr>
      <w:r>
        <w:rPr>
          <w:rFonts w:hint="eastAsia"/>
          <w:b/>
          <w:sz w:val="21"/>
          <w:szCs w:val="21"/>
        </w:rPr>
        <w:t>注：</w:t>
      </w:r>
    </w:p>
    <w:p>
      <w:pPr>
        <w:pStyle w:val="33"/>
        <w:tabs>
          <w:tab w:val="left" w:pos="1272"/>
        </w:tabs>
        <w:spacing w:before="158" w:line="360" w:lineRule="auto"/>
        <w:ind w:left="232" w:right="369" w:firstLine="161" w:firstLineChars="77"/>
        <w:rPr>
          <w:sz w:val="21"/>
          <w:szCs w:val="21"/>
        </w:rPr>
      </w:pPr>
      <w:r>
        <w:rPr>
          <w:rFonts w:hint="eastAsia"/>
          <w:sz w:val="21"/>
          <w:szCs w:val="21"/>
        </w:rPr>
        <w:t>1、采购人定标前对成交候选人进行信用查询，如成交候选人存在不良信用记录，采购人应取消成交候选人资格，并按规定予以处理。</w:t>
      </w:r>
    </w:p>
    <w:p>
      <w:pPr>
        <w:pStyle w:val="33"/>
        <w:tabs>
          <w:tab w:val="left" w:pos="1272"/>
        </w:tabs>
        <w:spacing w:before="158" w:line="360" w:lineRule="auto"/>
        <w:ind w:left="232" w:right="369" w:firstLine="161" w:firstLineChars="77"/>
        <w:rPr>
          <w:sz w:val="21"/>
          <w:szCs w:val="21"/>
        </w:rPr>
      </w:pPr>
      <w:r>
        <w:rPr>
          <w:rFonts w:hint="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pStyle w:val="33"/>
        <w:tabs>
          <w:tab w:val="left" w:pos="1272"/>
        </w:tabs>
        <w:spacing w:before="158" w:line="360" w:lineRule="auto"/>
        <w:ind w:left="232" w:right="369" w:firstLine="161" w:firstLineChars="77"/>
        <w:rPr>
          <w:sz w:val="21"/>
          <w:szCs w:val="21"/>
        </w:rPr>
      </w:pPr>
      <w:r>
        <w:rPr>
          <w:rFonts w:hint="eastAsia"/>
          <w:sz w:val="21"/>
          <w:szCs w:val="21"/>
        </w:rPr>
        <w:t>3、以联合体形式参加竞争性磋商的，联合体任何成员存在以上不良信用记录的，不得确定为成交供应商。</w:t>
      </w:r>
    </w:p>
    <w:p>
      <w:pPr>
        <w:pStyle w:val="33"/>
        <w:tabs>
          <w:tab w:val="left" w:pos="1272"/>
        </w:tabs>
        <w:spacing w:before="158" w:line="360" w:lineRule="auto"/>
        <w:ind w:left="232" w:right="369" w:firstLine="161" w:firstLineChars="77"/>
        <w:rPr>
          <w:sz w:val="21"/>
          <w:szCs w:val="21"/>
        </w:rPr>
      </w:pPr>
      <w:r>
        <w:rPr>
          <w:rFonts w:hint="eastAsia"/>
          <w:sz w:val="21"/>
          <w:szCs w:val="21"/>
        </w:rPr>
        <w:t xml:space="preserve">4、信用信息查询渠道：中国政府采购网（www.ccgp.gov.cn）、“信用中国”网站（www.creditchina.gov.cn）。 </w:t>
      </w:r>
    </w:p>
    <w:p>
      <w:pPr>
        <w:pStyle w:val="33"/>
        <w:tabs>
          <w:tab w:val="left" w:pos="1272"/>
        </w:tabs>
        <w:spacing w:before="158" w:line="360" w:lineRule="auto"/>
        <w:ind w:left="232" w:right="369" w:firstLine="161" w:firstLineChars="77"/>
        <w:rPr>
          <w:sz w:val="21"/>
          <w:szCs w:val="21"/>
        </w:rPr>
      </w:pPr>
      <w:r>
        <w:rPr>
          <w:rFonts w:hint="eastAsia"/>
          <w:sz w:val="21"/>
          <w:szCs w:val="21"/>
        </w:rPr>
        <w:t xml:space="preserve">5、信用信息记录方式：采购人将查询网页打印、签字并存档备查。 </w:t>
      </w:r>
    </w:p>
    <w:p>
      <w:pPr>
        <w:pStyle w:val="6"/>
        <w:numPr>
          <w:ilvl w:val="0"/>
          <w:numId w:val="13"/>
        </w:numPr>
        <w:jc w:val="left"/>
        <w:rPr>
          <w:sz w:val="22"/>
        </w:rPr>
      </w:pPr>
      <w:r>
        <w:rPr>
          <w:sz w:val="22"/>
        </w:rPr>
        <w:t>成交通知书</w:t>
      </w:r>
    </w:p>
    <w:p>
      <w:pPr>
        <w:pStyle w:val="33"/>
        <w:numPr>
          <w:ilvl w:val="1"/>
          <w:numId w:val="13"/>
        </w:numPr>
        <w:tabs>
          <w:tab w:val="left" w:pos="1272"/>
        </w:tabs>
        <w:spacing w:before="160" w:line="360" w:lineRule="auto"/>
        <w:ind w:left="234" w:right="368" w:firstLine="434"/>
        <w:jc w:val="both"/>
        <w:rPr>
          <w:sz w:val="21"/>
          <w:szCs w:val="21"/>
        </w:rPr>
      </w:pPr>
      <w:r>
        <w:rPr>
          <w:sz w:val="21"/>
          <w:szCs w:val="21"/>
        </w:rPr>
        <w:t>采购代理机构发布成交结果公告的同时以</w:t>
      </w:r>
      <w:r>
        <w:rPr>
          <w:sz w:val="21"/>
          <w:szCs w:val="21"/>
          <w:u w:val="single"/>
        </w:rPr>
        <w:t>供应商须知前附表</w:t>
      </w:r>
      <w:r>
        <w:rPr>
          <w:spacing w:val="-3"/>
          <w:sz w:val="21"/>
          <w:szCs w:val="21"/>
        </w:rPr>
        <w:t>规定的形</w:t>
      </w:r>
      <w:r>
        <w:rPr>
          <w:sz w:val="21"/>
          <w:szCs w:val="21"/>
        </w:rPr>
        <w:t>式向成交供应商发出成交通知书。</w:t>
      </w:r>
    </w:p>
    <w:p>
      <w:pPr>
        <w:pStyle w:val="33"/>
        <w:numPr>
          <w:ilvl w:val="1"/>
          <w:numId w:val="13"/>
        </w:numPr>
        <w:tabs>
          <w:tab w:val="left" w:pos="1272"/>
        </w:tabs>
        <w:spacing w:before="5" w:line="360" w:lineRule="auto"/>
        <w:ind w:left="234" w:right="373" w:firstLine="434"/>
        <w:jc w:val="both"/>
        <w:rPr>
          <w:sz w:val="21"/>
          <w:szCs w:val="21"/>
        </w:rPr>
      </w:pPr>
      <w:r>
        <w:rPr>
          <w:spacing w:val="-1"/>
          <w:sz w:val="21"/>
          <w:szCs w:val="21"/>
        </w:rPr>
        <w:t>成交通知书对采购人和成交供应商具有同等法律效力。成交通知书发</w:t>
      </w:r>
      <w:r>
        <w:rPr>
          <w:sz w:val="21"/>
          <w:szCs w:val="21"/>
        </w:rPr>
        <w:t>出以后，采购人改变成交结果或者成交供应商放弃成交资格，应当承担相应的法律责任。</w:t>
      </w:r>
    </w:p>
    <w:p>
      <w:pPr>
        <w:pStyle w:val="33"/>
        <w:tabs>
          <w:tab w:val="left" w:pos="1210"/>
        </w:tabs>
        <w:spacing w:line="360" w:lineRule="auto"/>
        <w:ind w:left="671" w:right="4315" w:firstLine="0"/>
        <w:rPr>
          <w:spacing w:val="-2"/>
          <w:sz w:val="21"/>
          <w:szCs w:val="21"/>
        </w:rPr>
      </w:pPr>
      <w:r>
        <w:rPr>
          <w:rFonts w:hint="eastAsia"/>
          <w:spacing w:val="-2"/>
          <w:sz w:val="21"/>
          <w:szCs w:val="21"/>
        </w:rPr>
        <w:t xml:space="preserve">28.3 </w:t>
      </w:r>
      <w:r>
        <w:rPr>
          <w:spacing w:val="-2"/>
          <w:sz w:val="21"/>
          <w:szCs w:val="21"/>
        </w:rPr>
        <w:t>成交通知书是合同的组成部分。</w:t>
      </w:r>
    </w:p>
    <w:p>
      <w:pPr>
        <w:pStyle w:val="33"/>
        <w:tabs>
          <w:tab w:val="left" w:pos="1210"/>
        </w:tabs>
        <w:spacing w:line="360" w:lineRule="auto"/>
        <w:ind w:left="671" w:right="4315" w:firstLine="0"/>
        <w:rPr>
          <w:b/>
          <w:sz w:val="21"/>
          <w:szCs w:val="21"/>
        </w:rPr>
      </w:pPr>
      <w:r>
        <w:rPr>
          <w:b/>
          <w:sz w:val="21"/>
          <w:szCs w:val="21"/>
        </w:rPr>
        <w:t>29.告知竞争性磋商结果</w:t>
      </w:r>
    </w:p>
    <w:p>
      <w:pPr>
        <w:pStyle w:val="33"/>
        <w:numPr>
          <w:ilvl w:val="1"/>
          <w:numId w:val="15"/>
        </w:numPr>
        <w:tabs>
          <w:tab w:val="left" w:pos="1272"/>
        </w:tabs>
        <w:spacing w:line="360" w:lineRule="auto"/>
        <w:ind w:right="365" w:firstLine="434"/>
        <w:jc w:val="both"/>
        <w:rPr>
          <w:sz w:val="21"/>
          <w:szCs w:val="21"/>
        </w:rPr>
      </w:pPr>
      <w:r>
        <w:rPr>
          <w:sz w:val="21"/>
          <w:szCs w:val="21"/>
        </w:rPr>
        <w:t>在公告成交结果的同时，采购代理机构同时以</w:t>
      </w:r>
      <w:r>
        <w:rPr>
          <w:sz w:val="21"/>
          <w:szCs w:val="21"/>
          <w:u w:val="single"/>
        </w:rPr>
        <w:t>供应商须知前附表</w:t>
      </w:r>
      <w:r>
        <w:rPr>
          <w:sz w:val="21"/>
          <w:szCs w:val="21"/>
        </w:rPr>
        <w:t>规定的形式告知未成交供应商本人的评审得分和排序。</w:t>
      </w:r>
    </w:p>
    <w:p>
      <w:pPr>
        <w:pStyle w:val="33"/>
        <w:tabs>
          <w:tab w:val="left" w:pos="1255"/>
        </w:tabs>
        <w:spacing w:line="360" w:lineRule="auto"/>
        <w:ind w:left="714" w:right="1629" w:firstLine="0"/>
        <w:rPr>
          <w:spacing w:val="-1"/>
          <w:sz w:val="21"/>
          <w:szCs w:val="21"/>
        </w:rPr>
      </w:pPr>
      <w:r>
        <w:rPr>
          <w:rFonts w:hint="eastAsia"/>
          <w:spacing w:val="-1"/>
          <w:sz w:val="21"/>
          <w:szCs w:val="21"/>
        </w:rPr>
        <w:t xml:space="preserve">29.2 </w:t>
      </w:r>
      <w:r>
        <w:rPr>
          <w:spacing w:val="-1"/>
          <w:sz w:val="21"/>
          <w:szCs w:val="21"/>
        </w:rPr>
        <w:t>采购代理机构对未成交的供应商不做未成交原因的解释。</w:t>
      </w:r>
    </w:p>
    <w:p>
      <w:pPr>
        <w:pStyle w:val="33"/>
        <w:tabs>
          <w:tab w:val="left" w:pos="1255"/>
        </w:tabs>
        <w:spacing w:line="360" w:lineRule="auto"/>
        <w:ind w:left="714" w:right="1629" w:firstLine="0"/>
        <w:rPr>
          <w:b/>
          <w:sz w:val="21"/>
          <w:szCs w:val="21"/>
        </w:rPr>
      </w:pPr>
      <w:r>
        <w:rPr>
          <w:b/>
          <w:sz w:val="21"/>
          <w:szCs w:val="21"/>
        </w:rPr>
        <w:t>30.履约保证金</w:t>
      </w:r>
    </w:p>
    <w:p>
      <w:pPr>
        <w:pStyle w:val="33"/>
        <w:numPr>
          <w:ilvl w:val="1"/>
          <w:numId w:val="16"/>
        </w:numPr>
        <w:tabs>
          <w:tab w:val="left" w:pos="121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pPr>
        <w:pStyle w:val="33"/>
        <w:numPr>
          <w:ilvl w:val="1"/>
          <w:numId w:val="16"/>
        </w:numPr>
        <w:tabs>
          <w:tab w:val="left" w:pos="1272"/>
        </w:tabs>
        <w:spacing w:before="156" w:line="360" w:lineRule="auto"/>
        <w:ind w:left="234" w:right="373" w:firstLine="434"/>
        <w:jc w:val="both"/>
        <w:rPr>
          <w:sz w:val="21"/>
          <w:szCs w:val="21"/>
        </w:rPr>
      </w:pPr>
      <w:r>
        <w:rPr>
          <w:spacing w:val="-1"/>
          <w:sz w:val="21"/>
          <w:szCs w:val="21"/>
        </w:rPr>
        <w:t>如果成交供应商没有按照上述履约保证金的规定执行，将视为放弃成</w:t>
      </w:r>
      <w:r>
        <w:rPr>
          <w:sz w:val="21"/>
          <w:szCs w:val="21"/>
        </w:rPr>
        <w:t>交资格。在此情况下，采购人可确定下一成交候选供应商为成交供应商，也可以重新开展采购活动。</w:t>
      </w:r>
    </w:p>
    <w:p>
      <w:pPr>
        <w:pStyle w:val="6"/>
        <w:numPr>
          <w:ilvl w:val="0"/>
          <w:numId w:val="17"/>
        </w:numPr>
        <w:jc w:val="left"/>
        <w:rPr>
          <w:sz w:val="22"/>
        </w:rPr>
      </w:pPr>
      <w:r>
        <w:rPr>
          <w:sz w:val="22"/>
        </w:rPr>
        <w:t>成交服务费</w:t>
      </w:r>
    </w:p>
    <w:p>
      <w:pPr>
        <w:pStyle w:val="33"/>
        <w:tabs>
          <w:tab w:val="left" w:pos="1210"/>
        </w:tabs>
        <w:spacing w:before="158" w:line="360" w:lineRule="auto"/>
        <w:ind w:left="671" w:right="1434" w:firstLine="0"/>
        <w:rPr>
          <w:spacing w:val="-3"/>
          <w:sz w:val="21"/>
          <w:szCs w:val="21"/>
        </w:rPr>
      </w:pPr>
      <w:r>
        <w:rPr>
          <w:rFonts w:hint="eastAsia"/>
          <w:sz w:val="21"/>
          <w:szCs w:val="21"/>
        </w:rPr>
        <w:t>31.1</w:t>
      </w:r>
      <w:r>
        <w:rPr>
          <w:sz w:val="21"/>
          <w:szCs w:val="21"/>
        </w:rPr>
        <w:t>本项目成交服务费的收取按</w:t>
      </w:r>
      <w:r>
        <w:rPr>
          <w:sz w:val="21"/>
          <w:szCs w:val="21"/>
          <w:u w:val="single"/>
        </w:rPr>
        <w:t>供应商须知前附表</w:t>
      </w:r>
      <w:r>
        <w:rPr>
          <w:spacing w:val="-3"/>
          <w:sz w:val="21"/>
          <w:szCs w:val="21"/>
        </w:rPr>
        <w:t>的规定执行。</w:t>
      </w:r>
    </w:p>
    <w:p>
      <w:pPr>
        <w:pStyle w:val="33"/>
        <w:tabs>
          <w:tab w:val="left" w:pos="1210"/>
        </w:tabs>
        <w:spacing w:before="158" w:line="360" w:lineRule="auto"/>
        <w:ind w:left="671" w:right="1434" w:firstLine="0"/>
        <w:rPr>
          <w:b/>
          <w:sz w:val="21"/>
          <w:szCs w:val="21"/>
        </w:rPr>
      </w:pPr>
      <w:r>
        <w:rPr>
          <w:b/>
          <w:sz w:val="21"/>
          <w:szCs w:val="21"/>
        </w:rPr>
        <w:t>32.签订合同</w:t>
      </w:r>
    </w:p>
    <w:p>
      <w:pPr>
        <w:pStyle w:val="33"/>
        <w:numPr>
          <w:ilvl w:val="1"/>
          <w:numId w:val="18"/>
        </w:numPr>
        <w:tabs>
          <w:tab w:val="left" w:pos="1219"/>
        </w:tabs>
        <w:spacing w:line="360" w:lineRule="auto"/>
        <w:rPr>
          <w:sz w:val="21"/>
          <w:szCs w:val="21"/>
        </w:rPr>
      </w:pPr>
      <w:r>
        <w:rPr>
          <w:spacing w:val="-3"/>
          <w:sz w:val="21"/>
          <w:szCs w:val="21"/>
        </w:rPr>
        <w:t xml:space="preserve">采购人与成交供应商应当自发出成交通知书之日起 </w:t>
      </w:r>
      <w:r>
        <w:rPr>
          <w:sz w:val="21"/>
          <w:szCs w:val="21"/>
        </w:rPr>
        <w:t>30</w:t>
      </w:r>
      <w:r>
        <w:rPr>
          <w:spacing w:val="-4"/>
          <w:sz w:val="21"/>
          <w:szCs w:val="21"/>
        </w:rPr>
        <w:t xml:space="preserve"> 日内签订合同。</w:t>
      </w:r>
    </w:p>
    <w:p>
      <w:pPr>
        <w:pStyle w:val="33"/>
        <w:numPr>
          <w:ilvl w:val="1"/>
          <w:numId w:val="18"/>
        </w:numPr>
        <w:tabs>
          <w:tab w:val="left" w:pos="1272"/>
        </w:tabs>
        <w:spacing w:before="161" w:line="360" w:lineRule="auto"/>
        <w:ind w:left="234" w:right="373" w:firstLine="434"/>
        <w:jc w:val="both"/>
        <w:rPr>
          <w:sz w:val="21"/>
          <w:szCs w:val="21"/>
        </w:rPr>
      </w:pPr>
      <w:r>
        <w:rPr>
          <w:spacing w:val="-1"/>
          <w:sz w:val="21"/>
          <w:szCs w:val="21"/>
        </w:rPr>
        <w:t>竞争性磋商文件、成交供应商的响应文件及其澄清文件等，均为签订合同的</w:t>
      </w:r>
      <w:r>
        <w:rPr>
          <w:sz w:val="21"/>
          <w:szCs w:val="21"/>
        </w:rPr>
        <w:t>依据。</w:t>
      </w:r>
    </w:p>
    <w:p>
      <w:pPr>
        <w:pStyle w:val="33"/>
        <w:numPr>
          <w:ilvl w:val="1"/>
          <w:numId w:val="18"/>
        </w:numPr>
        <w:tabs>
          <w:tab w:val="left" w:pos="1306"/>
        </w:tabs>
        <w:spacing w:before="5" w:line="360" w:lineRule="auto"/>
        <w:ind w:left="234" w:right="372" w:firstLine="470"/>
        <w:jc w:val="both"/>
        <w:rPr>
          <w:sz w:val="21"/>
          <w:szCs w:val="21"/>
        </w:rPr>
      </w:pPr>
      <w:r>
        <w:rPr>
          <w:spacing w:val="-1"/>
          <w:sz w:val="21"/>
          <w:szCs w:val="21"/>
        </w:rPr>
        <w:t>成交供应商拒绝与采购人签订合同的，采购人可以按照评审报告推荐</w:t>
      </w:r>
      <w:r>
        <w:rPr>
          <w:sz w:val="21"/>
          <w:szCs w:val="21"/>
        </w:rPr>
        <w:t>的成交候选供应商名单排序，确定下一成交候选供应商为成交供应商，也可以重新开展采购活动。成交供应商拒绝签订政府采购合同的不得参加对该项目重新开展的采购活动。</w:t>
      </w:r>
    </w:p>
    <w:p>
      <w:pPr>
        <w:pStyle w:val="6"/>
        <w:numPr>
          <w:ilvl w:val="0"/>
          <w:numId w:val="19"/>
        </w:numPr>
        <w:jc w:val="left"/>
        <w:rPr>
          <w:sz w:val="22"/>
        </w:rPr>
      </w:pPr>
      <w:r>
        <w:rPr>
          <w:sz w:val="22"/>
        </w:rPr>
        <w:t>廉洁自律规定</w:t>
      </w:r>
    </w:p>
    <w:p>
      <w:pPr>
        <w:pStyle w:val="33"/>
        <w:tabs>
          <w:tab w:val="left" w:pos="1306"/>
        </w:tabs>
        <w:spacing w:before="5" w:line="360" w:lineRule="auto"/>
        <w:ind w:left="703" w:right="374" w:firstLine="0"/>
        <w:jc w:val="both"/>
        <w:rPr>
          <w:spacing w:val="-1"/>
          <w:sz w:val="21"/>
          <w:szCs w:val="21"/>
        </w:rPr>
      </w:pPr>
      <w:r>
        <w:rPr>
          <w:rFonts w:hint="eastAsia"/>
          <w:spacing w:val="-1"/>
          <w:sz w:val="21"/>
          <w:szCs w:val="21"/>
        </w:rPr>
        <w:t>33.1</w:t>
      </w:r>
      <w:r>
        <w:rPr>
          <w:spacing w:val="-1"/>
          <w:sz w:val="21"/>
          <w:szCs w:val="21"/>
        </w:rPr>
        <w:t>采购代理机构工作人员不得以不正当手段获取政府采购代理业务，不得与采购人、供应商恶意串通。</w:t>
      </w:r>
    </w:p>
    <w:p>
      <w:pPr>
        <w:tabs>
          <w:tab w:val="left" w:pos="1193"/>
        </w:tabs>
        <w:spacing w:before="5" w:line="360" w:lineRule="auto"/>
        <w:ind w:left="669" w:right="374"/>
        <w:rPr>
          <w:rFonts w:ascii="宋体" w:hAnsi="宋体"/>
        </w:rPr>
      </w:pPr>
      <w:r>
        <w:rPr>
          <w:rFonts w:hint="eastAsia" w:ascii="宋体" w:hAnsi="宋体"/>
          <w:spacing w:val="-6"/>
        </w:rPr>
        <w:t>33.2</w:t>
      </w:r>
      <w:r>
        <w:rPr>
          <w:rFonts w:ascii="宋体" w:hAnsi="宋体"/>
          <w:spacing w:val="-6"/>
        </w:rPr>
        <w:t>采购代理机构工作人员不得接受采购人或者供应商组织的宴请、旅游、</w:t>
      </w:r>
      <w:r>
        <w:rPr>
          <w:rFonts w:ascii="宋体" w:hAnsi="宋体"/>
        </w:rPr>
        <w:t>娱乐，不得收受礼品、现金、有价证券等，不得向采购人或者供应商报销应当由个人承担的费用。</w:t>
      </w:r>
    </w:p>
    <w:p>
      <w:pPr>
        <w:pStyle w:val="6"/>
        <w:numPr>
          <w:ilvl w:val="0"/>
          <w:numId w:val="19"/>
        </w:numPr>
        <w:jc w:val="left"/>
        <w:rPr>
          <w:sz w:val="22"/>
        </w:rPr>
      </w:pPr>
      <w:r>
        <w:rPr>
          <w:sz w:val="22"/>
        </w:rPr>
        <w:t>质疑的提出与接收</w:t>
      </w:r>
    </w:p>
    <w:p>
      <w:pPr>
        <w:pStyle w:val="33"/>
        <w:numPr>
          <w:ilvl w:val="1"/>
          <w:numId w:val="19"/>
        </w:numPr>
        <w:tabs>
          <w:tab w:val="left" w:pos="1210"/>
        </w:tabs>
        <w:spacing w:before="161" w:line="360" w:lineRule="auto"/>
        <w:ind w:left="234" w:right="373" w:firstLine="434"/>
        <w:jc w:val="both"/>
        <w:rPr>
          <w:sz w:val="21"/>
          <w:szCs w:val="21"/>
        </w:rPr>
      </w:pPr>
      <w:r>
        <w:rPr>
          <w:spacing w:val="-13"/>
          <w:sz w:val="21"/>
          <w:szCs w:val="21"/>
        </w:rPr>
        <w:t>供应商认为竞争性磋商文件、采购过程、成交结果使自己的权益受到损害的， 可以根据《中华人民共和国政府采购法》、《中华人民共和国政府采购法实施条</w:t>
      </w:r>
      <w:r>
        <w:rPr>
          <w:sz w:val="21"/>
          <w:szCs w:val="21"/>
        </w:rPr>
        <w:t>例》和《政府采购质疑和投诉办法》的有关规定，依法向采购人或其委托的采购代理机构提出质疑。</w:t>
      </w:r>
    </w:p>
    <w:p>
      <w:pPr>
        <w:pStyle w:val="33"/>
        <w:numPr>
          <w:ilvl w:val="1"/>
          <w:numId w:val="19"/>
        </w:numPr>
        <w:tabs>
          <w:tab w:val="left" w:pos="1272"/>
        </w:tabs>
        <w:spacing w:line="360" w:lineRule="auto"/>
        <w:ind w:left="234" w:right="367" w:firstLine="434"/>
        <w:jc w:val="both"/>
        <w:rPr>
          <w:sz w:val="21"/>
          <w:szCs w:val="21"/>
        </w:rPr>
      </w:pPr>
      <w:r>
        <w:rPr>
          <w:sz w:val="21"/>
          <w:szCs w:val="21"/>
        </w:rPr>
        <w:t>质疑供应商应按照财政部制定的《政府采购质疑函范本》格式（详见竞争性磋商文件第八章</w:t>
      </w:r>
      <w:r>
        <w:rPr>
          <w:spacing w:val="4"/>
          <w:sz w:val="21"/>
          <w:szCs w:val="21"/>
        </w:rPr>
        <w:t>）</w:t>
      </w:r>
      <w:r>
        <w:rPr>
          <w:sz w:val="21"/>
          <w:szCs w:val="21"/>
        </w:rPr>
        <w:t>和《政府采购质疑和投诉办法》的要求，在法定质疑期内以书面形式提出质疑，超出法定质疑期提交的质疑将被拒绝。针对同一采购程序环节的质疑应一次性提出。</w:t>
      </w:r>
    </w:p>
    <w:p>
      <w:pPr>
        <w:pStyle w:val="9"/>
        <w:spacing w:line="360" w:lineRule="auto"/>
        <w:ind w:left="234" w:right="373" w:firstLine="434"/>
        <w:rPr>
          <w:sz w:val="21"/>
          <w:szCs w:val="21"/>
        </w:rPr>
      </w:pPr>
      <w:r>
        <w:rPr>
          <w:spacing w:val="-8"/>
          <w:sz w:val="21"/>
          <w:szCs w:val="21"/>
        </w:rPr>
        <w:t>超出法定质疑期的、重复提出的、分次提出的或内容、形式不符合《政府采</w:t>
      </w:r>
      <w:r>
        <w:rPr>
          <w:sz w:val="21"/>
          <w:szCs w:val="21"/>
        </w:rPr>
        <w:t>购质疑和投诉办法》的，质疑供应商将依法承担不利后果。</w:t>
      </w:r>
    </w:p>
    <w:p>
      <w:pPr>
        <w:pStyle w:val="33"/>
        <w:numPr>
          <w:ilvl w:val="1"/>
          <w:numId w:val="19"/>
        </w:numPr>
        <w:tabs>
          <w:tab w:val="left" w:pos="1272"/>
        </w:tabs>
        <w:spacing w:line="360" w:lineRule="auto"/>
        <w:ind w:left="234" w:right="368" w:firstLine="434"/>
        <w:rPr>
          <w:sz w:val="21"/>
          <w:szCs w:val="21"/>
        </w:rPr>
      </w:pPr>
      <w:r>
        <w:rPr>
          <w:sz w:val="21"/>
          <w:szCs w:val="21"/>
        </w:rPr>
        <w:t>采购代理机构质疑函接收部门、联系电话和通讯地址，见</w:t>
      </w:r>
      <w:r>
        <w:rPr>
          <w:sz w:val="21"/>
          <w:szCs w:val="21"/>
          <w:u w:val="single"/>
        </w:rPr>
        <w:t>供应商须知前附表</w:t>
      </w:r>
      <w:r>
        <w:rPr>
          <w:sz w:val="21"/>
          <w:szCs w:val="21"/>
        </w:rPr>
        <w:t>。</w:t>
      </w:r>
    </w:p>
    <w:p>
      <w:pPr>
        <w:pStyle w:val="6"/>
        <w:numPr>
          <w:ilvl w:val="0"/>
          <w:numId w:val="19"/>
        </w:numPr>
        <w:jc w:val="left"/>
        <w:rPr>
          <w:sz w:val="22"/>
        </w:rPr>
      </w:pPr>
      <w:r>
        <w:rPr>
          <w:sz w:val="22"/>
        </w:rPr>
        <w:t>需要补充的其他内容</w:t>
      </w:r>
    </w:p>
    <w:p>
      <w:pPr>
        <w:pStyle w:val="9"/>
        <w:spacing w:before="155" w:line="360" w:lineRule="auto"/>
        <w:ind w:left="669"/>
        <w:rPr>
          <w:sz w:val="21"/>
          <w:szCs w:val="21"/>
        </w:rPr>
      </w:pPr>
      <w:r>
        <w:rPr>
          <w:sz w:val="21"/>
          <w:szCs w:val="21"/>
        </w:rPr>
        <w:t>需要补充的其他内容，见</w:t>
      </w:r>
      <w:r>
        <w:rPr>
          <w:sz w:val="21"/>
          <w:szCs w:val="21"/>
          <w:u w:val="single"/>
        </w:rPr>
        <w:t>供应商须知前附表</w:t>
      </w:r>
      <w:r>
        <w:rPr>
          <w:sz w:val="21"/>
          <w:szCs w:val="21"/>
        </w:rPr>
        <w:t>。</w:t>
      </w:r>
    </w:p>
    <w:p>
      <w:pPr>
        <w:pStyle w:val="33"/>
        <w:tabs>
          <w:tab w:val="left" w:pos="1330"/>
        </w:tabs>
        <w:spacing w:before="161" w:line="360" w:lineRule="auto"/>
        <w:ind w:left="1329" w:firstLine="0"/>
        <w:jc w:val="both"/>
        <w:rPr>
          <w:sz w:val="21"/>
          <w:szCs w:val="21"/>
        </w:rPr>
      </w:pP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pStyle w:val="3"/>
        <w:tabs>
          <w:tab w:val="left" w:pos="1125"/>
        </w:tabs>
        <w:ind w:right="136"/>
        <w:jc w:val="center"/>
        <w:rPr>
          <w:rFonts w:ascii="宋体" w:hAnsi="宋体"/>
          <w:sz w:val="32"/>
          <w:szCs w:val="32"/>
        </w:rPr>
      </w:pPr>
      <w:r>
        <w:rPr>
          <w:rFonts w:ascii="宋体" w:hAnsi="宋体"/>
          <w:sz w:val="32"/>
          <w:szCs w:val="32"/>
        </w:rPr>
        <w:t>第三章</w:t>
      </w:r>
      <w:r>
        <w:rPr>
          <w:rFonts w:ascii="宋体" w:hAnsi="宋体"/>
          <w:sz w:val="32"/>
          <w:szCs w:val="32"/>
        </w:rPr>
        <w:tab/>
      </w:r>
      <w:r>
        <w:rPr>
          <w:rFonts w:hint="eastAsia" w:ascii="宋体" w:hAnsi="宋体"/>
          <w:sz w:val="32"/>
          <w:szCs w:val="32"/>
        </w:rPr>
        <w:t xml:space="preserve"> </w:t>
      </w:r>
      <w:r>
        <w:rPr>
          <w:rFonts w:ascii="宋体" w:hAnsi="宋体"/>
          <w:sz w:val="32"/>
          <w:szCs w:val="32"/>
        </w:rPr>
        <w:t>采购需求</w:t>
      </w:r>
    </w:p>
    <w:p>
      <w:pPr>
        <w:pStyle w:val="6"/>
      </w:pPr>
      <w:r>
        <w:t>前注：</w:t>
      </w:r>
    </w:p>
    <w:p>
      <w:pPr>
        <w:pStyle w:val="9"/>
        <w:spacing w:before="160" w:line="360" w:lineRule="auto"/>
        <w:ind w:left="234" w:right="2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提供满足用户实际需要的更优（或者性能实质上不低于的）服务方案，且此方案须经竞争性磋商小组评审认可。</w:t>
      </w:r>
    </w:p>
    <w:p>
      <w:pPr>
        <w:pStyle w:val="9"/>
        <w:spacing w:line="360" w:lineRule="auto"/>
        <w:rPr>
          <w:sz w:val="21"/>
          <w:szCs w:val="21"/>
        </w:rPr>
      </w:pPr>
    </w:p>
    <w:p>
      <w:pPr>
        <w:pStyle w:val="6"/>
      </w:pPr>
      <w:r>
        <w:t>一、采购需求前附表</w:t>
      </w:r>
    </w:p>
    <w:p>
      <w:pPr>
        <w:pStyle w:val="9"/>
        <w:spacing w:before="5" w:line="360" w:lineRule="auto"/>
        <w:rPr>
          <w:b/>
          <w:sz w:val="21"/>
          <w:szCs w:val="21"/>
        </w:rPr>
      </w:pPr>
    </w:p>
    <w:tbl>
      <w:tblPr>
        <w:tblStyle w:val="20"/>
        <w:tblW w:w="8497"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408"/>
        <w:gridCol w:w="5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tcPr>
          <w:p>
            <w:pPr>
              <w:pStyle w:val="45"/>
              <w:spacing w:before="96" w:line="360" w:lineRule="auto"/>
              <w:ind w:left="118" w:right="109"/>
              <w:jc w:val="center"/>
              <w:rPr>
                <w:b/>
                <w:sz w:val="21"/>
                <w:szCs w:val="21"/>
                <w:lang w:eastAsia="en-US"/>
              </w:rPr>
            </w:pPr>
            <w:r>
              <w:rPr>
                <w:b/>
                <w:sz w:val="21"/>
                <w:szCs w:val="21"/>
                <w:lang w:eastAsia="en-US"/>
              </w:rPr>
              <w:t>序号</w:t>
            </w:r>
          </w:p>
        </w:tc>
        <w:tc>
          <w:tcPr>
            <w:tcW w:w="2408" w:type="dxa"/>
            <w:shd w:val="clear" w:color="auto" w:fill="auto"/>
          </w:tcPr>
          <w:p>
            <w:pPr>
              <w:pStyle w:val="45"/>
              <w:spacing w:before="19" w:line="360" w:lineRule="auto"/>
              <w:ind w:left="510" w:right="502"/>
              <w:jc w:val="center"/>
              <w:rPr>
                <w:b/>
                <w:sz w:val="21"/>
                <w:szCs w:val="21"/>
                <w:lang w:eastAsia="en-US"/>
              </w:rPr>
            </w:pPr>
            <w:r>
              <w:rPr>
                <w:b/>
                <w:sz w:val="21"/>
                <w:szCs w:val="21"/>
                <w:lang w:eastAsia="en-US"/>
              </w:rPr>
              <w:t>条款名称</w:t>
            </w:r>
          </w:p>
        </w:tc>
        <w:tc>
          <w:tcPr>
            <w:tcW w:w="5086" w:type="dxa"/>
            <w:shd w:val="clear" w:color="auto" w:fill="auto"/>
          </w:tcPr>
          <w:p>
            <w:pPr>
              <w:pStyle w:val="45"/>
              <w:spacing w:before="19" w:line="360" w:lineRule="auto"/>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tcPr>
          <w:p>
            <w:pPr>
              <w:pStyle w:val="45"/>
              <w:spacing w:before="95" w:line="360" w:lineRule="auto"/>
              <w:ind w:left="9"/>
              <w:jc w:val="center"/>
              <w:rPr>
                <w:sz w:val="21"/>
                <w:szCs w:val="21"/>
                <w:lang w:eastAsia="en-US"/>
              </w:rPr>
            </w:pPr>
            <w:r>
              <w:rPr>
                <w:sz w:val="21"/>
                <w:szCs w:val="21"/>
                <w:lang w:eastAsia="en-US"/>
              </w:rPr>
              <w:t>1</w:t>
            </w:r>
          </w:p>
        </w:tc>
        <w:tc>
          <w:tcPr>
            <w:tcW w:w="2408" w:type="dxa"/>
            <w:shd w:val="clear" w:color="auto" w:fill="auto"/>
          </w:tcPr>
          <w:p>
            <w:pPr>
              <w:pStyle w:val="45"/>
              <w:spacing w:before="16" w:line="360" w:lineRule="auto"/>
              <w:ind w:left="510" w:right="501"/>
              <w:jc w:val="center"/>
              <w:rPr>
                <w:sz w:val="21"/>
                <w:szCs w:val="21"/>
                <w:lang w:eastAsia="en-US"/>
              </w:rPr>
            </w:pPr>
            <w:r>
              <w:rPr>
                <w:sz w:val="21"/>
                <w:szCs w:val="21"/>
                <w:lang w:eastAsia="en-US"/>
              </w:rPr>
              <w:t>付款方式</w:t>
            </w:r>
          </w:p>
        </w:tc>
        <w:tc>
          <w:tcPr>
            <w:tcW w:w="5086" w:type="dxa"/>
            <w:shd w:val="clear" w:color="auto" w:fill="auto"/>
          </w:tcPr>
          <w:p>
            <w:pPr>
              <w:pStyle w:val="45"/>
              <w:spacing w:line="360" w:lineRule="auto"/>
              <w:rPr>
                <w:sz w:val="21"/>
                <w:szCs w:val="21"/>
                <w:lang w:val="en-US"/>
              </w:rPr>
            </w:pPr>
            <w:r>
              <w:rPr>
                <w:rFonts w:hint="eastAsia"/>
                <w:sz w:val="21"/>
                <w:szCs w:val="21"/>
              </w:rPr>
              <w:t xml:space="preserve">  </w:t>
            </w:r>
            <w:r>
              <w:rPr>
                <w:rFonts w:hint="eastAsia"/>
                <w:sz w:val="21"/>
                <w:szCs w:val="21"/>
                <w:lang w:val="en-US"/>
              </w:rPr>
              <w:t xml:space="preserve"> 每月25号之前申报监理费用，按完成工程量的80％支付监理费；竣工验收合格且审计完成后付至审计额的97％，剩余3％为质保金，一年后无质量问题一次性无息付清。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tcPr>
          <w:p>
            <w:pPr>
              <w:pStyle w:val="45"/>
              <w:spacing w:before="95" w:line="360" w:lineRule="auto"/>
              <w:ind w:left="9"/>
              <w:jc w:val="center"/>
              <w:rPr>
                <w:sz w:val="21"/>
                <w:szCs w:val="21"/>
                <w:lang w:eastAsia="en-US"/>
              </w:rPr>
            </w:pPr>
            <w:r>
              <w:rPr>
                <w:sz w:val="21"/>
                <w:szCs w:val="21"/>
                <w:lang w:eastAsia="en-US"/>
              </w:rPr>
              <w:t>2</w:t>
            </w:r>
          </w:p>
        </w:tc>
        <w:tc>
          <w:tcPr>
            <w:tcW w:w="2408" w:type="dxa"/>
            <w:shd w:val="clear" w:color="auto" w:fill="auto"/>
          </w:tcPr>
          <w:p>
            <w:pPr>
              <w:pStyle w:val="45"/>
              <w:spacing w:before="16" w:line="360" w:lineRule="auto"/>
              <w:ind w:left="510" w:right="501"/>
              <w:jc w:val="center"/>
              <w:rPr>
                <w:sz w:val="21"/>
                <w:szCs w:val="21"/>
                <w:lang w:eastAsia="en-US"/>
              </w:rPr>
            </w:pPr>
            <w:r>
              <w:rPr>
                <w:sz w:val="21"/>
                <w:szCs w:val="21"/>
                <w:lang w:eastAsia="en-US"/>
              </w:rPr>
              <w:t>服务地点</w:t>
            </w:r>
          </w:p>
        </w:tc>
        <w:tc>
          <w:tcPr>
            <w:tcW w:w="5086" w:type="dxa"/>
            <w:shd w:val="clear" w:color="auto" w:fill="auto"/>
          </w:tcPr>
          <w:p>
            <w:pPr>
              <w:pStyle w:val="45"/>
              <w:spacing w:line="360" w:lineRule="auto"/>
              <w:rPr>
                <w:sz w:val="21"/>
                <w:szCs w:val="21"/>
              </w:rPr>
            </w:pPr>
            <w:r>
              <w:rPr>
                <w:b/>
                <w:szCs w:val="21"/>
              </w:rPr>
              <w:t xml:space="preserve"> </w:t>
            </w:r>
            <w:r>
              <w:rPr>
                <w:rFonts w:hint="eastAsia"/>
                <w:sz w:val="21"/>
                <w:szCs w:val="21"/>
              </w:rPr>
              <w:t xml:space="preserve"> 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tcPr>
          <w:p>
            <w:pPr>
              <w:pStyle w:val="45"/>
              <w:spacing w:before="95" w:line="360" w:lineRule="auto"/>
              <w:ind w:left="9"/>
              <w:jc w:val="center"/>
              <w:rPr>
                <w:sz w:val="21"/>
                <w:szCs w:val="21"/>
                <w:lang w:eastAsia="en-US"/>
              </w:rPr>
            </w:pPr>
            <w:r>
              <w:rPr>
                <w:sz w:val="21"/>
                <w:szCs w:val="21"/>
                <w:lang w:eastAsia="en-US"/>
              </w:rPr>
              <w:t>3</w:t>
            </w:r>
          </w:p>
        </w:tc>
        <w:tc>
          <w:tcPr>
            <w:tcW w:w="2408" w:type="dxa"/>
            <w:shd w:val="clear" w:color="auto" w:fill="auto"/>
          </w:tcPr>
          <w:p>
            <w:pPr>
              <w:pStyle w:val="45"/>
              <w:spacing w:before="19" w:line="360" w:lineRule="auto"/>
              <w:ind w:left="510" w:right="501"/>
              <w:jc w:val="center"/>
              <w:rPr>
                <w:sz w:val="21"/>
                <w:szCs w:val="21"/>
                <w:lang w:eastAsia="en-US"/>
              </w:rPr>
            </w:pPr>
            <w:r>
              <w:rPr>
                <w:rFonts w:hint="eastAsia"/>
                <w:sz w:val="21"/>
                <w:szCs w:val="21"/>
                <w:lang w:val="en-US"/>
              </w:rPr>
              <w:t>监理服务</w:t>
            </w:r>
            <w:r>
              <w:rPr>
                <w:sz w:val="21"/>
                <w:szCs w:val="21"/>
                <w:lang w:eastAsia="en-US"/>
              </w:rPr>
              <w:t>期限</w:t>
            </w:r>
          </w:p>
        </w:tc>
        <w:tc>
          <w:tcPr>
            <w:tcW w:w="5086" w:type="dxa"/>
            <w:shd w:val="clear" w:color="auto" w:fill="auto"/>
          </w:tcPr>
          <w:p>
            <w:pPr>
              <w:pStyle w:val="45"/>
              <w:spacing w:line="360" w:lineRule="auto"/>
              <w:rPr>
                <w:sz w:val="21"/>
                <w:szCs w:val="21"/>
                <w:lang w:val="en-US"/>
              </w:rPr>
            </w:pPr>
            <w:r>
              <w:rPr>
                <w:rFonts w:hint="eastAsia"/>
                <w:sz w:val="21"/>
                <w:szCs w:val="21"/>
              </w:rPr>
              <w:t xml:space="preserve">  自签订监理合同之日起，至保修期（</w:t>
            </w:r>
            <w:r>
              <w:rPr>
                <w:rFonts w:hint="eastAsia"/>
                <w:sz w:val="21"/>
                <w:szCs w:val="21"/>
                <w:lang w:val="en-US"/>
              </w:rPr>
              <w:t>缺陷责任期</w:t>
            </w:r>
            <w:r>
              <w:rPr>
                <w:rFonts w:hint="eastAsia"/>
                <w:sz w:val="21"/>
                <w:szCs w:val="21"/>
              </w:rPr>
              <w:t>）结束。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tcPr>
          <w:p>
            <w:pPr>
              <w:pStyle w:val="45"/>
              <w:spacing w:before="95" w:line="360" w:lineRule="auto"/>
              <w:ind w:left="9"/>
              <w:jc w:val="center"/>
              <w:rPr>
                <w:sz w:val="21"/>
                <w:szCs w:val="21"/>
                <w:lang w:val="en-US"/>
              </w:rPr>
            </w:pPr>
            <w:r>
              <w:rPr>
                <w:rFonts w:hint="eastAsia"/>
                <w:sz w:val="21"/>
                <w:szCs w:val="21"/>
                <w:lang w:val="en-US"/>
              </w:rPr>
              <w:t>4</w:t>
            </w:r>
          </w:p>
        </w:tc>
        <w:tc>
          <w:tcPr>
            <w:tcW w:w="2408" w:type="dxa"/>
            <w:shd w:val="clear" w:color="auto" w:fill="auto"/>
          </w:tcPr>
          <w:p>
            <w:pPr>
              <w:pStyle w:val="45"/>
              <w:spacing w:before="19" w:line="360" w:lineRule="auto"/>
              <w:ind w:left="510" w:right="501"/>
              <w:jc w:val="center"/>
              <w:rPr>
                <w:sz w:val="21"/>
                <w:szCs w:val="21"/>
                <w:lang w:val="en-US"/>
              </w:rPr>
            </w:pPr>
            <w:r>
              <w:rPr>
                <w:rFonts w:hint="eastAsia"/>
                <w:sz w:val="21"/>
                <w:szCs w:val="21"/>
                <w:lang w:val="en-US"/>
              </w:rPr>
              <w:t>监理服务质量要求</w:t>
            </w:r>
          </w:p>
        </w:tc>
        <w:tc>
          <w:tcPr>
            <w:tcW w:w="5086" w:type="dxa"/>
            <w:shd w:val="clear" w:color="auto" w:fill="auto"/>
          </w:tcPr>
          <w:p>
            <w:pPr>
              <w:pStyle w:val="45"/>
              <w:spacing w:line="360" w:lineRule="auto"/>
              <w:rPr>
                <w:sz w:val="21"/>
                <w:szCs w:val="21"/>
              </w:rPr>
            </w:pPr>
            <w:r>
              <w:rPr>
                <w:rFonts w:hint="eastAsia"/>
                <w:sz w:val="21"/>
                <w:szCs w:val="21"/>
                <w:lang w:val="en-US"/>
              </w:rPr>
              <w:t>监理范围内的工程全部一次验收合格，并且符合国家、地方标准规范。监理服务需严格按照现行工程建设标准、规范进行，符合建设工程监理规范《GB/T50319-2013》要求</w:t>
            </w:r>
          </w:p>
        </w:tc>
      </w:tr>
    </w:tbl>
    <w:p>
      <w:pPr>
        <w:pStyle w:val="6"/>
        <w:ind w:left="0"/>
      </w:pPr>
      <w:r>
        <w:t>二、项目概况</w:t>
      </w:r>
    </w:p>
    <w:p>
      <w:pPr>
        <w:widowControl/>
        <w:spacing w:line="480" w:lineRule="auto"/>
        <w:ind w:firstLine="630" w:firstLineChars="300"/>
        <w:jc w:val="left"/>
        <w:rPr>
          <w:rFonts w:ascii="宋体" w:hAnsi="宋体"/>
        </w:rPr>
      </w:pPr>
      <w:bookmarkStart w:id="42" w:name="_bookmark3"/>
      <w:bookmarkEnd w:id="42"/>
      <w:r>
        <w:rPr>
          <w:rFonts w:hint="eastAsia" w:ascii="宋体" w:hAnsi="宋体"/>
        </w:rPr>
        <w:t>界首市通用机场项目（一期）10kV外线接入工程施工包括强电设备采购及安装项目涉及的各类电力设备等。本次监理项目包括施工准备阶段、施工阶段监理服务和竣工报验、工程档案移交、审计阶段、工程保修阶段（缺陷责任期）等全过程监理。</w:t>
      </w:r>
    </w:p>
    <w:p>
      <w:pPr>
        <w:widowControl/>
        <w:spacing w:line="480" w:lineRule="auto"/>
        <w:jc w:val="left"/>
        <w:rPr>
          <w:rFonts w:ascii="Cambria" w:hAnsi="Cambria"/>
          <w:b/>
          <w:bCs/>
          <w:sz w:val="28"/>
          <w:szCs w:val="28"/>
        </w:rPr>
      </w:pPr>
      <w:r>
        <w:br w:type="page"/>
      </w:r>
    </w:p>
    <w:p>
      <w:pPr>
        <w:spacing w:line="480" w:lineRule="auto"/>
        <w:ind w:firstLine="630" w:firstLineChars="300"/>
        <w:rPr>
          <w:rFonts w:ascii="宋体" w:hAnsi="宋体"/>
          <w:bCs/>
          <w:szCs w:val="22"/>
        </w:rPr>
      </w:pPr>
      <w:r>
        <w:rPr>
          <w:rFonts w:hint="eastAsia" w:ascii="宋体" w:hAnsi="宋体"/>
          <w:bCs/>
          <w:szCs w:val="22"/>
        </w:rPr>
        <w:t>监理范围：施工图纸范围内的</w:t>
      </w:r>
      <w:r>
        <w:rPr>
          <w:rFonts w:hint="eastAsia" w:ascii="宋体" w:hAnsi="宋体"/>
          <w:szCs w:val="22"/>
        </w:rPr>
        <w:t>全部工程施工准备阶段、施工阶段监理服务和竣工报验、工程档案移交、工程移交使用、审计阶段提供配合、及保修阶段监理服务。</w:t>
      </w:r>
    </w:p>
    <w:p>
      <w:pPr>
        <w:spacing w:line="480" w:lineRule="auto"/>
        <w:ind w:firstLine="630" w:firstLineChars="300"/>
        <w:rPr>
          <w:rFonts w:ascii="宋体" w:hAnsi="宋体"/>
          <w:bCs/>
          <w:szCs w:val="22"/>
        </w:rPr>
      </w:pPr>
      <w:r>
        <w:rPr>
          <w:rFonts w:hint="eastAsia" w:ascii="宋体" w:hAnsi="宋体"/>
          <w:bCs/>
          <w:szCs w:val="22"/>
        </w:rPr>
        <w:t>施工监理内容：总体实施方案和设计方案的质量把关，工程进度控制，投资控制，信息管理，建设安全管理，系统测试，系统集成调试，项目培训，系统试运行和验收工作的监理，系统移交及相关文档的起草和管理等工作，确保项目质量、进度和投资计划的顺利实施，做好项目合同与文档（资料）管理，受采购人委托，负责协调项目涉及的各承建单位之间的工作关系，并协调解决项目建设过程中的各类纠纷，针对项目建设情况，向采购人提出合理化的改进改良建议，并提供监理服务。</w:t>
      </w:r>
    </w:p>
    <w:p>
      <w:pPr>
        <w:spacing w:line="480" w:lineRule="auto"/>
        <w:ind w:firstLine="630" w:firstLineChars="300"/>
        <w:rPr>
          <w:rFonts w:ascii="宋体" w:hAnsi="宋体"/>
          <w:bCs/>
          <w:szCs w:val="22"/>
        </w:rPr>
      </w:pPr>
      <w:r>
        <w:rPr>
          <w:rFonts w:hint="eastAsia" w:ascii="宋体" w:hAnsi="宋体"/>
          <w:bCs/>
          <w:szCs w:val="22"/>
        </w:rPr>
        <w:t>工程质量的监理及检查验收标准：本工程以工程施工设计图纸、图纸会审记录、设计变更通知书、技术联系单、各类试验报告、产品合格证书等有关资料和合同规定的条款为依据，按国家颁布的工程施工验收规范及监理大纲进行监理、检查、验收，符合最新</w:t>
      </w:r>
      <w:r>
        <w:rPr>
          <w:rFonts w:ascii="宋体" w:hAnsi="宋体"/>
          <w:bCs/>
          <w:szCs w:val="22"/>
        </w:rPr>
        <w:t>建设工程监理</w:t>
      </w:r>
      <w:r>
        <w:rPr>
          <w:rFonts w:hint="eastAsia" w:ascii="宋体" w:hAnsi="宋体"/>
          <w:bCs/>
          <w:szCs w:val="22"/>
        </w:rPr>
        <w:t>规范要求。</w:t>
      </w:r>
    </w:p>
    <w:p>
      <w:pPr>
        <w:spacing w:line="480" w:lineRule="auto"/>
        <w:ind w:firstLine="630" w:firstLineChars="300"/>
        <w:rPr>
          <w:rFonts w:ascii="宋体" w:hAnsi="宋体"/>
          <w:bCs/>
          <w:szCs w:val="22"/>
        </w:rPr>
      </w:pPr>
      <w:r>
        <w:rPr>
          <w:rFonts w:hint="eastAsia" w:ascii="宋体" w:hAnsi="宋体"/>
          <w:bCs/>
          <w:szCs w:val="22"/>
        </w:rPr>
        <w:t>监理范围还包括：正常监理服务以外其他的相关服务，包括但不限于配合采购人办理报建、报批、报审、施工招标过程的技术服务、施工图纸复核、施工合同的拟定、洽谈以及施工许可证申请办理、工程现场前期的准备工作、设计协调、竣工验收、工程结算初审、工程备案以及工期控制等全过程服务。</w:t>
      </w:r>
    </w:p>
    <w:p>
      <w:pPr>
        <w:spacing w:line="480" w:lineRule="auto"/>
        <w:ind w:firstLine="630" w:firstLineChars="300"/>
        <w:rPr>
          <w:rFonts w:ascii="宋体" w:hAnsi="宋体"/>
          <w:bCs/>
          <w:szCs w:val="22"/>
        </w:rPr>
      </w:pPr>
      <w:r>
        <w:rPr>
          <w:rFonts w:hint="eastAsia" w:ascii="宋体" w:hAnsi="宋体"/>
          <w:bCs/>
          <w:szCs w:val="22"/>
        </w:rPr>
        <w:t>监理服务期：施工准备期+施工期+验收与缺陷责任期</w:t>
      </w:r>
    </w:p>
    <w:p>
      <w:pPr>
        <w:spacing w:line="480" w:lineRule="auto"/>
        <w:ind w:firstLine="420" w:firstLineChars="200"/>
        <w:rPr>
          <w:rFonts w:ascii="宋体" w:hAnsi="宋体"/>
        </w:rPr>
      </w:pPr>
    </w:p>
    <w:p>
      <w:pPr>
        <w:spacing w:line="480" w:lineRule="auto"/>
        <w:ind w:firstLine="422" w:firstLineChars="200"/>
        <w:jc w:val="left"/>
        <w:rPr>
          <w:rFonts w:ascii="宋体" w:hAnsi="宋体"/>
          <w:b/>
          <w:bCs/>
          <w:szCs w:val="22"/>
        </w:rPr>
      </w:pPr>
      <w:r>
        <w:rPr>
          <w:rFonts w:hint="eastAsia" w:ascii="宋体" w:hAnsi="宋体"/>
          <w:b/>
          <w:bCs/>
          <w:szCs w:val="22"/>
        </w:rPr>
        <w:t>（二）监理机构人员配备要求</w:t>
      </w:r>
    </w:p>
    <w:p>
      <w:pPr>
        <w:spacing w:line="480" w:lineRule="auto"/>
        <w:ind w:firstLine="420" w:firstLineChars="200"/>
        <w:rPr>
          <w:szCs w:val="22"/>
        </w:rPr>
      </w:pPr>
      <w:r>
        <w:rPr>
          <w:rFonts w:hint="eastAsia"/>
          <w:szCs w:val="22"/>
        </w:rPr>
        <w:t>1、监理主要任务</w:t>
      </w:r>
    </w:p>
    <w:p>
      <w:pPr>
        <w:spacing w:line="480" w:lineRule="auto"/>
        <w:ind w:firstLine="420" w:firstLineChars="200"/>
        <w:rPr>
          <w:szCs w:val="22"/>
        </w:rPr>
      </w:pPr>
      <w:r>
        <w:rPr>
          <w:rFonts w:hint="eastAsia"/>
          <w:szCs w:val="22"/>
        </w:rPr>
        <w:t xml:space="preserve">（1）确保项目承建方按照建设合同及招标文件要求实施项目建设，对承建方进行有效的监督和配合，确保工程保质保量、按时完成。 </w:t>
      </w:r>
    </w:p>
    <w:p>
      <w:pPr>
        <w:spacing w:line="480" w:lineRule="auto"/>
        <w:ind w:firstLine="420" w:firstLineChars="200"/>
        <w:rPr>
          <w:szCs w:val="22"/>
        </w:rPr>
      </w:pPr>
      <w:r>
        <w:rPr>
          <w:rFonts w:hint="eastAsia"/>
          <w:szCs w:val="22"/>
        </w:rPr>
        <w:t>（2）协助业主办理报建、报批、报审、施工许可等手续，协助业主做好项目前期准备、组织协调、竣工验收、项目决算、项目备案等工作。</w:t>
      </w:r>
    </w:p>
    <w:p>
      <w:pPr>
        <w:spacing w:line="480" w:lineRule="auto"/>
        <w:ind w:firstLine="420" w:firstLineChars="200"/>
        <w:rPr>
          <w:szCs w:val="22"/>
        </w:rPr>
      </w:pPr>
      <w:r>
        <w:rPr>
          <w:rFonts w:hint="eastAsia"/>
          <w:szCs w:val="22"/>
        </w:rPr>
        <w:t>（3）本招标文件规定的其他服务范围。</w:t>
      </w:r>
    </w:p>
    <w:p>
      <w:pPr>
        <w:spacing w:line="480" w:lineRule="auto"/>
        <w:ind w:firstLine="420" w:firstLineChars="200"/>
        <w:rPr>
          <w:szCs w:val="22"/>
        </w:rPr>
      </w:pPr>
      <w:r>
        <w:rPr>
          <w:rFonts w:hint="eastAsia"/>
          <w:szCs w:val="22"/>
        </w:rPr>
        <w:t>2、建设期监理工作要求</w:t>
      </w:r>
    </w:p>
    <w:p>
      <w:pPr>
        <w:spacing w:line="480" w:lineRule="auto"/>
        <w:ind w:firstLine="420" w:firstLineChars="200"/>
        <w:rPr>
          <w:szCs w:val="22"/>
        </w:rPr>
      </w:pPr>
      <w:r>
        <w:rPr>
          <w:rFonts w:hint="eastAsia"/>
          <w:szCs w:val="22"/>
        </w:rPr>
        <w:t>成交人须提供覆盖项目建设的监理，并准确理解并掌握项目建设方案内容，从设备进场、前端勘察、工程施工、初验、检测到终验通过每个环节。</w:t>
      </w:r>
    </w:p>
    <w:p>
      <w:pPr>
        <w:spacing w:line="480" w:lineRule="auto"/>
        <w:ind w:firstLine="420" w:firstLineChars="200"/>
        <w:rPr>
          <w:szCs w:val="22"/>
        </w:rPr>
      </w:pPr>
      <w:r>
        <w:rPr>
          <w:rFonts w:hint="eastAsia"/>
          <w:szCs w:val="22"/>
        </w:rPr>
        <w:t>按照项目建设方案及相应标准进行监理，成交人要提供监理本工程所需的监理工具，按时提交甲方所需要的工程质量技术文档，包括监理日报、周报、月报、测试文档、测试报告和竣工报告等。</w:t>
      </w:r>
    </w:p>
    <w:p>
      <w:pPr>
        <w:spacing w:line="480" w:lineRule="auto"/>
        <w:ind w:firstLine="420" w:firstLineChars="200"/>
        <w:rPr>
          <w:szCs w:val="22"/>
        </w:rPr>
      </w:pPr>
      <w:r>
        <w:rPr>
          <w:rFonts w:hint="eastAsia"/>
          <w:szCs w:val="22"/>
        </w:rPr>
        <w:t xml:space="preserve">在承建单位进入工程实施后，负责建立良好的协调和沟通机制，以及必要的工作制度，使采购人、承建单位和监理单位形成良好的合作协调机制，形成合力，高质高效完成项目建设。 </w:t>
      </w:r>
    </w:p>
    <w:p>
      <w:pPr>
        <w:spacing w:line="480" w:lineRule="auto"/>
        <w:ind w:firstLine="420" w:firstLineChars="200"/>
        <w:rPr>
          <w:szCs w:val="22"/>
        </w:rPr>
      </w:pPr>
      <w:r>
        <w:rPr>
          <w:rFonts w:hint="eastAsia"/>
          <w:szCs w:val="22"/>
        </w:rPr>
        <w:t xml:space="preserve">对工程质量水平进行综合评定。提交采购人所需要的工程质量技术文档，包括建设期及运维期的监理日报、周报、月报、测试文档、测试报告和竣工报告等。 </w:t>
      </w:r>
    </w:p>
    <w:p>
      <w:pPr>
        <w:spacing w:line="480" w:lineRule="auto"/>
        <w:ind w:firstLine="420" w:firstLineChars="200"/>
        <w:rPr>
          <w:szCs w:val="22"/>
        </w:rPr>
      </w:pPr>
      <w:r>
        <w:rPr>
          <w:rFonts w:hint="eastAsia"/>
          <w:szCs w:val="22"/>
        </w:rPr>
        <w:t xml:space="preserve">按照相关国家标准，监理工作内容包括但不限于设计咨询、质量控制、进度控制、投资控制、合同管理、信息管理和组织协调等，包括至少以下内容： </w:t>
      </w:r>
    </w:p>
    <w:p>
      <w:pPr>
        <w:spacing w:line="480" w:lineRule="auto"/>
        <w:ind w:firstLine="420" w:firstLineChars="200"/>
        <w:rPr>
          <w:szCs w:val="22"/>
        </w:rPr>
      </w:pPr>
      <w:r>
        <w:rPr>
          <w:rFonts w:hint="eastAsia"/>
          <w:szCs w:val="22"/>
        </w:rPr>
        <w:t xml:space="preserve">（一）工程组织及技术总体方案的把关（包括但不限于以下内容） </w:t>
      </w:r>
    </w:p>
    <w:p>
      <w:pPr>
        <w:spacing w:line="480" w:lineRule="auto"/>
        <w:ind w:firstLine="420" w:firstLineChars="200"/>
        <w:rPr>
          <w:szCs w:val="22"/>
        </w:rPr>
      </w:pPr>
      <w:r>
        <w:rPr>
          <w:rFonts w:hint="eastAsia"/>
          <w:szCs w:val="22"/>
        </w:rPr>
        <w:t xml:space="preserve">审核和确认承建单位的总体技术方案（系统集成方案、平台软件设计方案、传输网络建设方案等）； </w:t>
      </w:r>
    </w:p>
    <w:p>
      <w:pPr>
        <w:spacing w:line="480" w:lineRule="auto"/>
        <w:ind w:firstLine="420" w:firstLineChars="200"/>
        <w:rPr>
          <w:szCs w:val="22"/>
        </w:rPr>
      </w:pPr>
      <w:r>
        <w:rPr>
          <w:rFonts w:hint="eastAsia"/>
          <w:szCs w:val="22"/>
        </w:rPr>
        <w:t xml:space="preserve">审核和确认承建单位的组织实施方案； </w:t>
      </w:r>
    </w:p>
    <w:p>
      <w:pPr>
        <w:spacing w:line="480" w:lineRule="auto"/>
        <w:ind w:firstLine="420" w:firstLineChars="200"/>
        <w:rPr>
          <w:szCs w:val="22"/>
        </w:rPr>
      </w:pPr>
      <w:r>
        <w:rPr>
          <w:rFonts w:hint="eastAsia"/>
          <w:szCs w:val="22"/>
        </w:rPr>
        <w:t xml:space="preserve">审核和确认承建单位的工程质量保证计划及质量控制体系； </w:t>
      </w:r>
    </w:p>
    <w:p>
      <w:pPr>
        <w:spacing w:line="480" w:lineRule="auto"/>
        <w:ind w:firstLine="420" w:firstLineChars="200"/>
        <w:rPr>
          <w:szCs w:val="22"/>
        </w:rPr>
      </w:pPr>
      <w:r>
        <w:rPr>
          <w:rFonts w:hint="eastAsia"/>
          <w:szCs w:val="22"/>
        </w:rPr>
        <w:t xml:space="preserve">审核和确认承建单位的配置管理方案； </w:t>
      </w:r>
    </w:p>
    <w:p>
      <w:pPr>
        <w:spacing w:line="480" w:lineRule="auto"/>
        <w:ind w:firstLine="420" w:firstLineChars="200"/>
        <w:rPr>
          <w:szCs w:val="22"/>
        </w:rPr>
      </w:pPr>
      <w:r>
        <w:rPr>
          <w:rFonts w:hint="eastAsia"/>
          <w:szCs w:val="22"/>
        </w:rPr>
        <w:t xml:space="preserve">审核和确认承建单位的测试计划； </w:t>
      </w:r>
    </w:p>
    <w:p>
      <w:pPr>
        <w:spacing w:line="480" w:lineRule="auto"/>
        <w:ind w:firstLine="420" w:firstLineChars="200"/>
        <w:rPr>
          <w:szCs w:val="22"/>
        </w:rPr>
      </w:pPr>
      <w:r>
        <w:rPr>
          <w:rFonts w:hint="eastAsia"/>
          <w:szCs w:val="22"/>
        </w:rPr>
        <w:t xml:space="preserve">审核和确认承建单位的工程进度计划； </w:t>
      </w:r>
    </w:p>
    <w:p>
      <w:pPr>
        <w:spacing w:line="480" w:lineRule="auto"/>
        <w:ind w:firstLine="420" w:firstLineChars="200"/>
        <w:rPr>
          <w:szCs w:val="22"/>
        </w:rPr>
      </w:pPr>
      <w:r>
        <w:rPr>
          <w:rFonts w:hint="eastAsia"/>
          <w:szCs w:val="22"/>
        </w:rPr>
        <w:t>明确项目质量控制的关键性环节；</w:t>
      </w:r>
    </w:p>
    <w:p>
      <w:pPr>
        <w:spacing w:line="480" w:lineRule="auto"/>
        <w:ind w:firstLine="420" w:firstLineChars="200"/>
        <w:rPr>
          <w:szCs w:val="22"/>
        </w:rPr>
      </w:pPr>
      <w:r>
        <w:rPr>
          <w:rFonts w:hint="eastAsia"/>
          <w:szCs w:val="22"/>
        </w:rPr>
        <w:t xml:space="preserve">根据采购人和承建单位签订的合同，确定本次项目实施和验收的技术标准；确定验收的软件模块、设备清单、到货时间及相关要求。 </w:t>
      </w:r>
    </w:p>
    <w:p>
      <w:pPr>
        <w:spacing w:line="480" w:lineRule="auto"/>
        <w:ind w:firstLine="420" w:firstLineChars="200"/>
        <w:rPr>
          <w:szCs w:val="22"/>
        </w:rPr>
      </w:pPr>
      <w:r>
        <w:rPr>
          <w:rFonts w:hint="eastAsia"/>
          <w:szCs w:val="22"/>
        </w:rPr>
        <w:t xml:space="preserve">（二）工程质量控制（包括但不限于以下内容） </w:t>
      </w:r>
    </w:p>
    <w:p>
      <w:pPr>
        <w:spacing w:line="480" w:lineRule="auto"/>
        <w:ind w:firstLine="420" w:firstLineChars="200"/>
        <w:rPr>
          <w:szCs w:val="22"/>
        </w:rPr>
      </w:pPr>
      <w:r>
        <w:rPr>
          <w:rFonts w:hint="eastAsia"/>
          <w:szCs w:val="22"/>
        </w:rPr>
        <w:t xml:space="preserve">（1）系统集成质量的控制 </w:t>
      </w:r>
    </w:p>
    <w:p>
      <w:pPr>
        <w:spacing w:line="480" w:lineRule="auto"/>
        <w:ind w:firstLine="420" w:firstLineChars="200"/>
        <w:rPr>
          <w:szCs w:val="22"/>
        </w:rPr>
      </w:pPr>
      <w:r>
        <w:rPr>
          <w:rFonts w:hint="eastAsia"/>
          <w:szCs w:val="22"/>
        </w:rPr>
        <w:t xml:space="preserve">系统集成方案的审核和确认； </w:t>
      </w:r>
    </w:p>
    <w:p>
      <w:pPr>
        <w:spacing w:line="480" w:lineRule="auto"/>
        <w:ind w:firstLine="420" w:firstLineChars="200"/>
        <w:rPr>
          <w:szCs w:val="22"/>
        </w:rPr>
      </w:pPr>
      <w:r>
        <w:rPr>
          <w:rFonts w:hint="eastAsia"/>
          <w:szCs w:val="22"/>
        </w:rPr>
        <w:t xml:space="preserve">对采购的硬件设备的质量进行检验和验收； </w:t>
      </w:r>
    </w:p>
    <w:p>
      <w:pPr>
        <w:spacing w:line="480" w:lineRule="auto"/>
        <w:ind w:firstLine="420" w:firstLineChars="200"/>
        <w:rPr>
          <w:szCs w:val="22"/>
        </w:rPr>
      </w:pPr>
      <w:r>
        <w:rPr>
          <w:rFonts w:hint="eastAsia"/>
          <w:szCs w:val="22"/>
        </w:rPr>
        <w:t xml:space="preserve">对设备安装、系统软件的安装调试进行监督、检查和验收； </w:t>
      </w:r>
    </w:p>
    <w:p>
      <w:pPr>
        <w:spacing w:line="480" w:lineRule="auto"/>
        <w:ind w:firstLine="420" w:firstLineChars="200"/>
        <w:rPr>
          <w:szCs w:val="22"/>
        </w:rPr>
      </w:pPr>
      <w:r>
        <w:rPr>
          <w:rFonts w:hint="eastAsia"/>
          <w:szCs w:val="22"/>
        </w:rPr>
        <w:t xml:space="preserve">参与对系统集成的总体验收。 </w:t>
      </w:r>
    </w:p>
    <w:p>
      <w:pPr>
        <w:spacing w:line="480" w:lineRule="auto"/>
        <w:ind w:firstLine="420" w:firstLineChars="200"/>
        <w:rPr>
          <w:szCs w:val="22"/>
        </w:rPr>
      </w:pPr>
      <w:r>
        <w:rPr>
          <w:rFonts w:hint="eastAsia"/>
          <w:szCs w:val="22"/>
        </w:rPr>
        <w:t xml:space="preserve">（2）平台应用软件开发质量控制 </w:t>
      </w:r>
    </w:p>
    <w:p>
      <w:pPr>
        <w:spacing w:line="480" w:lineRule="auto"/>
        <w:ind w:firstLine="420" w:firstLineChars="200"/>
        <w:rPr>
          <w:szCs w:val="22"/>
        </w:rPr>
      </w:pPr>
      <w:r>
        <w:rPr>
          <w:rFonts w:hint="eastAsia"/>
          <w:szCs w:val="22"/>
        </w:rPr>
        <w:t xml:space="preserve">软件开发计划的审核和确认； </w:t>
      </w:r>
    </w:p>
    <w:p>
      <w:pPr>
        <w:spacing w:line="480" w:lineRule="auto"/>
        <w:ind w:firstLine="420" w:firstLineChars="200"/>
        <w:rPr>
          <w:szCs w:val="22"/>
        </w:rPr>
      </w:pPr>
      <w:r>
        <w:rPr>
          <w:rFonts w:hint="eastAsia"/>
          <w:szCs w:val="22"/>
        </w:rPr>
        <w:t xml:space="preserve">对软件开发的需求分析、概要设计、详细设计、编码测试、应用测试等每个开发阶段进行把关； </w:t>
      </w:r>
    </w:p>
    <w:p>
      <w:pPr>
        <w:spacing w:line="480" w:lineRule="auto"/>
        <w:ind w:firstLine="420" w:firstLineChars="200"/>
        <w:rPr>
          <w:szCs w:val="22"/>
        </w:rPr>
      </w:pPr>
      <w:r>
        <w:rPr>
          <w:rFonts w:hint="eastAsia"/>
          <w:szCs w:val="22"/>
        </w:rPr>
        <w:t xml:space="preserve">对承建单位的开发质量记录进行审核； </w:t>
      </w:r>
    </w:p>
    <w:p>
      <w:pPr>
        <w:spacing w:line="480" w:lineRule="auto"/>
        <w:ind w:firstLine="420" w:firstLineChars="200"/>
        <w:rPr>
          <w:szCs w:val="22"/>
        </w:rPr>
      </w:pPr>
      <w:r>
        <w:rPr>
          <w:rFonts w:hint="eastAsia"/>
          <w:szCs w:val="22"/>
        </w:rPr>
        <w:t xml:space="preserve">源代码及应用程序的移交验收； </w:t>
      </w:r>
    </w:p>
    <w:p>
      <w:pPr>
        <w:spacing w:line="480" w:lineRule="auto"/>
        <w:ind w:firstLine="420" w:firstLineChars="200"/>
        <w:rPr>
          <w:szCs w:val="22"/>
        </w:rPr>
      </w:pPr>
      <w:r>
        <w:rPr>
          <w:rFonts w:hint="eastAsia"/>
          <w:szCs w:val="22"/>
        </w:rPr>
        <w:t xml:space="preserve">参与对应用软件的总体验收。 </w:t>
      </w:r>
    </w:p>
    <w:p>
      <w:pPr>
        <w:spacing w:line="480" w:lineRule="auto"/>
        <w:ind w:firstLine="420" w:firstLineChars="200"/>
        <w:rPr>
          <w:szCs w:val="22"/>
        </w:rPr>
      </w:pPr>
      <w:r>
        <w:rPr>
          <w:rFonts w:hint="eastAsia"/>
          <w:szCs w:val="22"/>
        </w:rPr>
        <w:t xml:space="preserve">（3）系统安全质量控制 </w:t>
      </w:r>
    </w:p>
    <w:p>
      <w:pPr>
        <w:spacing w:line="480" w:lineRule="auto"/>
        <w:ind w:firstLine="420" w:firstLineChars="200"/>
        <w:rPr>
          <w:szCs w:val="22"/>
        </w:rPr>
      </w:pPr>
      <w:r>
        <w:rPr>
          <w:rFonts w:hint="eastAsia"/>
          <w:szCs w:val="22"/>
        </w:rPr>
        <w:t xml:space="preserve">负责系统安全方案的审核和确认； </w:t>
      </w:r>
    </w:p>
    <w:p>
      <w:pPr>
        <w:spacing w:line="480" w:lineRule="auto"/>
        <w:ind w:firstLine="420" w:firstLineChars="200"/>
        <w:rPr>
          <w:szCs w:val="22"/>
        </w:rPr>
      </w:pPr>
      <w:r>
        <w:rPr>
          <w:rFonts w:hint="eastAsia"/>
          <w:szCs w:val="22"/>
        </w:rPr>
        <w:t xml:space="preserve">对安全系统的采购、安装、调试、配置过程的监督； </w:t>
      </w:r>
    </w:p>
    <w:p>
      <w:pPr>
        <w:spacing w:line="480" w:lineRule="auto"/>
        <w:ind w:firstLine="420" w:firstLineChars="200"/>
        <w:rPr>
          <w:szCs w:val="22"/>
        </w:rPr>
      </w:pPr>
      <w:r>
        <w:rPr>
          <w:rFonts w:hint="eastAsia"/>
          <w:szCs w:val="22"/>
        </w:rPr>
        <w:t xml:space="preserve">（4）培训质量控制 </w:t>
      </w:r>
    </w:p>
    <w:p>
      <w:pPr>
        <w:spacing w:line="480" w:lineRule="auto"/>
        <w:ind w:firstLine="420" w:firstLineChars="200"/>
        <w:rPr>
          <w:szCs w:val="22"/>
        </w:rPr>
      </w:pPr>
      <w:r>
        <w:rPr>
          <w:rFonts w:hint="eastAsia"/>
          <w:szCs w:val="22"/>
        </w:rPr>
        <w:t xml:space="preserve">审核确认承建单位的培训计划； </w:t>
      </w:r>
    </w:p>
    <w:p>
      <w:pPr>
        <w:spacing w:line="480" w:lineRule="auto"/>
        <w:ind w:firstLine="420" w:firstLineChars="200"/>
        <w:rPr>
          <w:szCs w:val="22"/>
        </w:rPr>
      </w:pPr>
      <w:r>
        <w:rPr>
          <w:rFonts w:hint="eastAsia"/>
          <w:szCs w:val="22"/>
        </w:rPr>
        <w:t xml:space="preserve">监督承建单位实施其培训计划，并征求用户的反馈意见； </w:t>
      </w:r>
    </w:p>
    <w:p>
      <w:pPr>
        <w:spacing w:line="480" w:lineRule="auto"/>
        <w:ind w:firstLine="420" w:firstLineChars="200"/>
        <w:rPr>
          <w:szCs w:val="22"/>
        </w:rPr>
      </w:pPr>
      <w:r>
        <w:rPr>
          <w:rFonts w:hint="eastAsia"/>
          <w:szCs w:val="22"/>
        </w:rPr>
        <w:t xml:space="preserve">审核确认承建单位的培训总结报告。 </w:t>
      </w:r>
    </w:p>
    <w:p>
      <w:pPr>
        <w:spacing w:line="480" w:lineRule="auto"/>
        <w:ind w:firstLine="420" w:firstLineChars="200"/>
        <w:rPr>
          <w:szCs w:val="22"/>
        </w:rPr>
      </w:pPr>
      <w:r>
        <w:rPr>
          <w:rFonts w:hint="eastAsia"/>
          <w:szCs w:val="22"/>
        </w:rPr>
        <w:t xml:space="preserve">（三）工程进度控制（包括但不限于以下内容） </w:t>
      </w:r>
    </w:p>
    <w:p>
      <w:pPr>
        <w:spacing w:line="480" w:lineRule="auto"/>
        <w:ind w:firstLine="420" w:firstLineChars="200"/>
        <w:rPr>
          <w:szCs w:val="22"/>
        </w:rPr>
      </w:pPr>
      <w:r>
        <w:rPr>
          <w:rFonts w:hint="eastAsia"/>
          <w:szCs w:val="22"/>
        </w:rPr>
        <w:t xml:space="preserve">审核承建单位的进度分解计划，确认分解计划可以保证总体计划目标； </w:t>
      </w:r>
    </w:p>
    <w:p>
      <w:pPr>
        <w:spacing w:line="480" w:lineRule="auto"/>
        <w:ind w:firstLine="420" w:firstLineChars="200"/>
        <w:rPr>
          <w:szCs w:val="22"/>
        </w:rPr>
      </w:pPr>
      <w:r>
        <w:rPr>
          <w:rFonts w:hint="eastAsia"/>
          <w:szCs w:val="22"/>
        </w:rPr>
        <w:t xml:space="preserve">对项目实施进度进行实时跟踪，并要求承建单位对进度计划进行动态调整，以确保项目的阶段和总体进度目标的实现； </w:t>
      </w:r>
    </w:p>
    <w:p>
      <w:pPr>
        <w:spacing w:line="480" w:lineRule="auto"/>
        <w:ind w:firstLine="420" w:firstLineChars="200"/>
        <w:rPr>
          <w:szCs w:val="22"/>
        </w:rPr>
      </w:pPr>
      <w:r>
        <w:rPr>
          <w:rFonts w:hint="eastAsia"/>
          <w:szCs w:val="22"/>
        </w:rPr>
        <w:t xml:space="preserve">（四）工程投资控制（包括但不限于以下内容） </w:t>
      </w:r>
    </w:p>
    <w:p>
      <w:pPr>
        <w:spacing w:line="480" w:lineRule="auto"/>
        <w:ind w:firstLine="420" w:firstLineChars="200"/>
        <w:rPr>
          <w:szCs w:val="22"/>
        </w:rPr>
      </w:pPr>
      <w:r>
        <w:rPr>
          <w:rFonts w:hint="eastAsia"/>
          <w:szCs w:val="22"/>
        </w:rPr>
        <w:t xml:space="preserve">通过对系统的总体设计方案和工程实施中的方案及设计的评估和优化，确保投资预算合理。 </w:t>
      </w:r>
    </w:p>
    <w:p>
      <w:pPr>
        <w:spacing w:line="480" w:lineRule="auto"/>
        <w:ind w:firstLine="420" w:firstLineChars="200"/>
        <w:rPr>
          <w:szCs w:val="22"/>
        </w:rPr>
      </w:pPr>
      <w:r>
        <w:rPr>
          <w:rFonts w:hint="eastAsia"/>
          <w:szCs w:val="22"/>
        </w:rPr>
        <w:t xml:space="preserve">协助采购人将付款进度与工程质量和形象进度结合起来； </w:t>
      </w:r>
    </w:p>
    <w:p>
      <w:pPr>
        <w:spacing w:line="480" w:lineRule="auto"/>
        <w:ind w:firstLine="420" w:firstLineChars="200"/>
        <w:rPr>
          <w:szCs w:val="22"/>
        </w:rPr>
      </w:pPr>
      <w:r>
        <w:rPr>
          <w:rFonts w:hint="eastAsia"/>
          <w:szCs w:val="22"/>
        </w:rPr>
        <w:t xml:space="preserve">负责根据相关文件要求，做好设计变更、经济签证相关审核报送工作； </w:t>
      </w:r>
    </w:p>
    <w:p>
      <w:pPr>
        <w:spacing w:line="480" w:lineRule="auto"/>
        <w:ind w:firstLine="420" w:firstLineChars="200"/>
        <w:rPr>
          <w:szCs w:val="22"/>
        </w:rPr>
      </w:pPr>
      <w:r>
        <w:rPr>
          <w:rFonts w:hint="eastAsia"/>
          <w:szCs w:val="22"/>
        </w:rPr>
        <w:t xml:space="preserve">负责工程决算初审工作，并及时将审核结果上报业主单位。 </w:t>
      </w:r>
    </w:p>
    <w:p>
      <w:pPr>
        <w:spacing w:line="480" w:lineRule="auto"/>
        <w:ind w:firstLine="420" w:firstLineChars="200"/>
        <w:rPr>
          <w:szCs w:val="22"/>
        </w:rPr>
      </w:pPr>
      <w:r>
        <w:rPr>
          <w:rFonts w:hint="eastAsia"/>
          <w:szCs w:val="22"/>
        </w:rPr>
        <w:t xml:space="preserve">（五）工程合同管理（包括但不限于以下内容） </w:t>
      </w:r>
    </w:p>
    <w:p>
      <w:pPr>
        <w:spacing w:line="480" w:lineRule="auto"/>
        <w:ind w:firstLine="420" w:firstLineChars="200"/>
        <w:rPr>
          <w:szCs w:val="22"/>
        </w:rPr>
      </w:pPr>
      <w:r>
        <w:rPr>
          <w:rFonts w:hint="eastAsia"/>
          <w:szCs w:val="22"/>
        </w:rPr>
        <w:t xml:space="preserve">跟踪检查合同的执行情况，确保承建单位按时履约； </w:t>
      </w:r>
    </w:p>
    <w:p>
      <w:pPr>
        <w:spacing w:line="480" w:lineRule="auto"/>
        <w:ind w:firstLine="420" w:firstLineChars="200"/>
        <w:rPr>
          <w:szCs w:val="22"/>
        </w:rPr>
      </w:pPr>
      <w:r>
        <w:rPr>
          <w:rFonts w:hint="eastAsia"/>
          <w:szCs w:val="22"/>
        </w:rPr>
        <w:t xml:space="preserve">对合同工期的延误和延期进行审核确认； </w:t>
      </w:r>
    </w:p>
    <w:p>
      <w:pPr>
        <w:spacing w:line="480" w:lineRule="auto"/>
        <w:ind w:firstLine="420" w:firstLineChars="200"/>
        <w:rPr>
          <w:szCs w:val="22"/>
        </w:rPr>
      </w:pPr>
      <w:r>
        <w:rPr>
          <w:rFonts w:hint="eastAsia"/>
          <w:szCs w:val="22"/>
        </w:rPr>
        <w:t xml:space="preserve">对工程暂停，复工等事宜进行审核确认； </w:t>
      </w:r>
    </w:p>
    <w:p>
      <w:pPr>
        <w:spacing w:line="480" w:lineRule="auto"/>
        <w:ind w:firstLine="420" w:firstLineChars="200"/>
        <w:rPr>
          <w:szCs w:val="22"/>
        </w:rPr>
      </w:pPr>
      <w:r>
        <w:rPr>
          <w:rFonts w:hint="eastAsia"/>
          <w:szCs w:val="22"/>
        </w:rPr>
        <w:t xml:space="preserve">对合同变更、索赔、违约等事宜进行审核确认； </w:t>
      </w:r>
    </w:p>
    <w:p>
      <w:pPr>
        <w:spacing w:line="480" w:lineRule="auto"/>
        <w:ind w:firstLine="420" w:firstLineChars="200"/>
        <w:rPr>
          <w:szCs w:val="22"/>
        </w:rPr>
      </w:pPr>
      <w:r>
        <w:rPr>
          <w:rFonts w:hint="eastAsia"/>
          <w:szCs w:val="22"/>
        </w:rPr>
        <w:t xml:space="preserve">根据合同约定，审核承建单位提交的支付申请； </w:t>
      </w:r>
    </w:p>
    <w:p>
      <w:pPr>
        <w:spacing w:line="480" w:lineRule="auto"/>
        <w:ind w:firstLine="420" w:firstLineChars="200"/>
        <w:rPr>
          <w:szCs w:val="22"/>
        </w:rPr>
      </w:pPr>
      <w:r>
        <w:rPr>
          <w:rFonts w:hint="eastAsia"/>
          <w:szCs w:val="22"/>
        </w:rPr>
        <w:t xml:space="preserve">建立变更控制系统；控制工程变更，评估变更风险以及变更效果，明确界定项目变更的目标，防止变更范围的扩大； </w:t>
      </w:r>
    </w:p>
    <w:p>
      <w:pPr>
        <w:spacing w:line="480" w:lineRule="auto"/>
        <w:ind w:firstLine="420" w:firstLineChars="200"/>
        <w:rPr>
          <w:szCs w:val="22"/>
        </w:rPr>
      </w:pPr>
      <w:r>
        <w:rPr>
          <w:rFonts w:hint="eastAsia"/>
          <w:szCs w:val="22"/>
        </w:rPr>
        <w:t xml:space="preserve">任何变更都要得到三方（采购人、监理单位和承建单位）的书面确认。 </w:t>
      </w:r>
    </w:p>
    <w:p>
      <w:pPr>
        <w:spacing w:line="480" w:lineRule="auto"/>
        <w:ind w:firstLine="420" w:firstLineChars="200"/>
        <w:rPr>
          <w:szCs w:val="22"/>
        </w:rPr>
      </w:pPr>
      <w:r>
        <w:rPr>
          <w:rFonts w:hint="eastAsia"/>
          <w:szCs w:val="22"/>
        </w:rPr>
        <w:t xml:space="preserve">（六）信息管理及工程文档管理（包括但不限于以下内容） </w:t>
      </w:r>
    </w:p>
    <w:p>
      <w:pPr>
        <w:spacing w:line="480" w:lineRule="auto"/>
        <w:ind w:firstLine="420" w:firstLineChars="200"/>
        <w:rPr>
          <w:szCs w:val="22"/>
        </w:rPr>
      </w:pPr>
      <w:r>
        <w:rPr>
          <w:rFonts w:hint="eastAsia"/>
          <w:szCs w:val="22"/>
        </w:rPr>
        <w:t xml:space="preserve">根据采购人要求制定相应的项目文档管理规范； </w:t>
      </w:r>
    </w:p>
    <w:p>
      <w:pPr>
        <w:spacing w:line="480" w:lineRule="auto"/>
        <w:ind w:firstLine="420" w:firstLineChars="200"/>
        <w:rPr>
          <w:szCs w:val="22"/>
        </w:rPr>
      </w:pPr>
      <w:r>
        <w:rPr>
          <w:rFonts w:hint="eastAsia"/>
          <w:szCs w:val="22"/>
        </w:rPr>
        <w:t xml:space="preserve">编制监理日记及工程大事记； </w:t>
      </w:r>
    </w:p>
    <w:p>
      <w:pPr>
        <w:spacing w:line="480" w:lineRule="auto"/>
        <w:ind w:firstLine="420" w:firstLineChars="200"/>
        <w:rPr>
          <w:szCs w:val="22"/>
        </w:rPr>
      </w:pPr>
      <w:r>
        <w:rPr>
          <w:rFonts w:hint="eastAsia"/>
          <w:szCs w:val="22"/>
        </w:rPr>
        <w:t xml:space="preserve">整理归档合同批复等各类往来文件； </w:t>
      </w:r>
    </w:p>
    <w:p>
      <w:pPr>
        <w:spacing w:line="480" w:lineRule="auto"/>
        <w:ind w:firstLine="420" w:firstLineChars="200"/>
        <w:rPr>
          <w:szCs w:val="22"/>
        </w:rPr>
      </w:pPr>
      <w:r>
        <w:rPr>
          <w:rFonts w:hint="eastAsia"/>
          <w:szCs w:val="22"/>
        </w:rPr>
        <w:t xml:space="preserve">整理归档项目协调会、技术专题会的会议纪要； </w:t>
      </w:r>
    </w:p>
    <w:p>
      <w:pPr>
        <w:spacing w:line="480" w:lineRule="auto"/>
        <w:ind w:firstLine="420" w:firstLineChars="200"/>
        <w:rPr>
          <w:szCs w:val="22"/>
        </w:rPr>
      </w:pPr>
      <w:r>
        <w:rPr>
          <w:rFonts w:hint="eastAsia"/>
          <w:szCs w:val="22"/>
        </w:rPr>
        <w:t xml:space="preserve">管理好实施期间的各类技术文档； </w:t>
      </w:r>
    </w:p>
    <w:p>
      <w:pPr>
        <w:spacing w:line="480" w:lineRule="auto"/>
        <w:ind w:firstLine="420" w:firstLineChars="200"/>
        <w:rPr>
          <w:szCs w:val="22"/>
        </w:rPr>
      </w:pPr>
      <w:r>
        <w:rPr>
          <w:rFonts w:hint="eastAsia"/>
          <w:szCs w:val="22"/>
        </w:rPr>
        <w:t xml:space="preserve">提交验收所需的管理文档汇编； </w:t>
      </w:r>
    </w:p>
    <w:p>
      <w:pPr>
        <w:spacing w:line="480" w:lineRule="auto"/>
        <w:ind w:firstLine="420" w:firstLineChars="200"/>
        <w:rPr>
          <w:szCs w:val="22"/>
        </w:rPr>
      </w:pPr>
      <w:r>
        <w:rPr>
          <w:rFonts w:hint="eastAsia"/>
          <w:szCs w:val="22"/>
        </w:rPr>
        <w:t xml:space="preserve">项目周报、月报； </w:t>
      </w:r>
    </w:p>
    <w:p>
      <w:pPr>
        <w:spacing w:line="480" w:lineRule="auto"/>
        <w:ind w:firstLine="420" w:firstLineChars="200"/>
        <w:rPr>
          <w:szCs w:val="22"/>
        </w:rPr>
      </w:pPr>
      <w:r>
        <w:rPr>
          <w:rFonts w:hint="eastAsia"/>
          <w:szCs w:val="22"/>
        </w:rPr>
        <w:t xml:space="preserve">监理工程师通知； </w:t>
      </w:r>
    </w:p>
    <w:p>
      <w:pPr>
        <w:spacing w:line="480" w:lineRule="auto"/>
        <w:ind w:firstLine="420" w:firstLineChars="200"/>
        <w:rPr>
          <w:szCs w:val="22"/>
        </w:rPr>
      </w:pPr>
      <w:r>
        <w:rPr>
          <w:rFonts w:hint="eastAsia"/>
          <w:szCs w:val="22"/>
        </w:rPr>
        <w:t xml:space="preserve">阶段性项目总结。 </w:t>
      </w:r>
    </w:p>
    <w:p>
      <w:pPr>
        <w:spacing w:line="480" w:lineRule="auto"/>
        <w:ind w:firstLine="420" w:firstLineChars="200"/>
        <w:rPr>
          <w:szCs w:val="22"/>
        </w:rPr>
      </w:pPr>
      <w:r>
        <w:rPr>
          <w:rFonts w:hint="eastAsia"/>
          <w:szCs w:val="22"/>
        </w:rPr>
        <w:t xml:space="preserve">（七）项目安全的管理（包括但不限于以下内容） </w:t>
      </w:r>
    </w:p>
    <w:p>
      <w:pPr>
        <w:spacing w:line="480" w:lineRule="auto"/>
        <w:ind w:firstLine="420" w:firstLineChars="200"/>
        <w:rPr>
          <w:szCs w:val="22"/>
        </w:rPr>
      </w:pPr>
      <w:r>
        <w:rPr>
          <w:rFonts w:hint="eastAsia"/>
          <w:szCs w:val="22"/>
        </w:rPr>
        <w:t xml:space="preserve">协助采购人审核项目建设的有关安全保密方案； </w:t>
      </w:r>
    </w:p>
    <w:p>
      <w:pPr>
        <w:spacing w:line="480" w:lineRule="auto"/>
        <w:ind w:firstLine="420" w:firstLineChars="200"/>
        <w:rPr>
          <w:szCs w:val="22"/>
        </w:rPr>
      </w:pPr>
      <w:r>
        <w:rPr>
          <w:rFonts w:hint="eastAsia"/>
          <w:szCs w:val="22"/>
        </w:rPr>
        <w:t xml:space="preserve">负责项目建设施工过程中安全控制，防止出现安全事故。 </w:t>
      </w:r>
    </w:p>
    <w:p>
      <w:pPr>
        <w:spacing w:line="480" w:lineRule="auto"/>
        <w:ind w:firstLine="420" w:firstLineChars="200"/>
        <w:rPr>
          <w:szCs w:val="22"/>
        </w:rPr>
      </w:pPr>
      <w:r>
        <w:rPr>
          <w:rFonts w:hint="eastAsia"/>
          <w:szCs w:val="22"/>
        </w:rPr>
        <w:t xml:space="preserve">（八）项目知识产权的管理（包括但不限于以下内容） </w:t>
      </w:r>
    </w:p>
    <w:p>
      <w:pPr>
        <w:spacing w:line="480" w:lineRule="auto"/>
        <w:ind w:firstLine="420" w:firstLineChars="200"/>
        <w:rPr>
          <w:szCs w:val="22"/>
        </w:rPr>
      </w:pPr>
      <w:r>
        <w:rPr>
          <w:rFonts w:hint="eastAsia"/>
          <w:szCs w:val="22"/>
        </w:rPr>
        <w:t>负责项目建设过程中所产生成果的知识产权保护，防止被非授权使用；</w:t>
      </w:r>
    </w:p>
    <w:p>
      <w:pPr>
        <w:spacing w:line="480" w:lineRule="auto"/>
        <w:ind w:firstLine="420" w:firstLineChars="200"/>
        <w:rPr>
          <w:szCs w:val="22"/>
        </w:rPr>
      </w:pPr>
      <w:r>
        <w:rPr>
          <w:rFonts w:hint="eastAsia"/>
          <w:szCs w:val="22"/>
        </w:rPr>
        <w:t xml:space="preserve">负责项目建设过程中涉及知识产权的产品和系统的使用审核，保证不在本项目建设中出现违反知识产权的行为。 </w:t>
      </w:r>
    </w:p>
    <w:p>
      <w:pPr>
        <w:spacing w:line="480" w:lineRule="auto"/>
        <w:ind w:firstLine="420" w:firstLineChars="200"/>
        <w:rPr>
          <w:szCs w:val="22"/>
        </w:rPr>
      </w:pPr>
      <w:r>
        <w:rPr>
          <w:rFonts w:hint="eastAsia"/>
          <w:szCs w:val="22"/>
        </w:rPr>
        <w:t xml:space="preserve">（九）项目的协调和组织（包括但不限于以下内容） </w:t>
      </w:r>
    </w:p>
    <w:p>
      <w:pPr>
        <w:spacing w:line="480" w:lineRule="auto"/>
        <w:ind w:firstLine="420" w:firstLineChars="200"/>
        <w:rPr>
          <w:szCs w:val="22"/>
        </w:rPr>
      </w:pPr>
      <w:r>
        <w:rPr>
          <w:rFonts w:hint="eastAsia"/>
          <w:szCs w:val="22"/>
        </w:rPr>
        <w:t xml:space="preserve">接受委托，负责协调项目所涉及的各单位之间的工作关系，并协调解决项目建设过程中的各类纠纷。 </w:t>
      </w:r>
    </w:p>
    <w:p>
      <w:pPr>
        <w:spacing w:line="480" w:lineRule="auto"/>
        <w:ind w:firstLine="420" w:firstLineChars="200"/>
        <w:rPr>
          <w:szCs w:val="22"/>
        </w:rPr>
      </w:pPr>
      <w:r>
        <w:rPr>
          <w:rFonts w:hint="eastAsia"/>
          <w:szCs w:val="22"/>
        </w:rPr>
        <w:t xml:space="preserve">投标供应商成交后应通过必要的会议制度来实施协调工作，主要包括项目例会、专题讨论会、专家评审会、问题通报会、监理协调会、监理交底会、阶段工作总结会以及各环节验收会和参与采购人组织的有关会议等。 </w:t>
      </w:r>
    </w:p>
    <w:p>
      <w:pPr>
        <w:spacing w:line="480" w:lineRule="auto"/>
        <w:ind w:firstLine="420" w:firstLineChars="200"/>
        <w:rPr>
          <w:szCs w:val="22"/>
        </w:rPr>
      </w:pPr>
      <w:r>
        <w:rPr>
          <w:rFonts w:hint="eastAsia"/>
          <w:szCs w:val="22"/>
        </w:rPr>
        <w:t xml:space="preserve">（十）咨询及项目管理服务（包括但不限于以下内容） </w:t>
      </w:r>
    </w:p>
    <w:p>
      <w:pPr>
        <w:spacing w:line="480" w:lineRule="auto"/>
        <w:ind w:firstLine="420" w:firstLineChars="200"/>
        <w:rPr>
          <w:szCs w:val="22"/>
        </w:rPr>
      </w:pPr>
      <w:r>
        <w:rPr>
          <w:rFonts w:hint="eastAsia"/>
          <w:szCs w:val="22"/>
        </w:rPr>
        <w:t xml:space="preserve">为采购人提供技术咨询服务，对项目建设中的技术难点与新技术为业主提供解答； </w:t>
      </w:r>
    </w:p>
    <w:p>
      <w:pPr>
        <w:spacing w:line="480" w:lineRule="auto"/>
        <w:ind w:firstLine="420" w:firstLineChars="200"/>
        <w:rPr>
          <w:szCs w:val="22"/>
        </w:rPr>
      </w:pPr>
      <w:r>
        <w:rPr>
          <w:rFonts w:hint="eastAsia"/>
          <w:szCs w:val="22"/>
        </w:rPr>
        <w:t xml:space="preserve">结合采购人需求提供咨询意见； </w:t>
      </w:r>
    </w:p>
    <w:p>
      <w:pPr>
        <w:spacing w:line="480" w:lineRule="auto"/>
        <w:ind w:firstLine="420" w:firstLineChars="200"/>
        <w:rPr>
          <w:szCs w:val="22"/>
        </w:rPr>
      </w:pPr>
      <w:r>
        <w:rPr>
          <w:rFonts w:hint="eastAsia"/>
          <w:szCs w:val="22"/>
        </w:rPr>
        <w:t xml:space="preserve">提供完善的项目管理措施，协调项目管理工作。 </w:t>
      </w:r>
    </w:p>
    <w:p>
      <w:pPr>
        <w:spacing w:line="480" w:lineRule="auto"/>
        <w:ind w:firstLine="482" w:firstLineChars="200"/>
        <w:rPr>
          <w:rFonts w:ascii="Calibri" w:hAnsi="Calibri"/>
          <w:b/>
          <w:bCs/>
          <w:sz w:val="24"/>
          <w:szCs w:val="24"/>
          <w:lang w:val="zh-CN"/>
        </w:rPr>
      </w:pPr>
      <w:r>
        <w:rPr>
          <w:rFonts w:hint="eastAsia" w:ascii="Calibri" w:hAnsi="Calibri"/>
          <w:b/>
          <w:bCs/>
          <w:sz w:val="24"/>
          <w:szCs w:val="24"/>
          <w:lang w:val="zh-CN"/>
        </w:rPr>
        <w:t>人员配备要求</w:t>
      </w:r>
    </w:p>
    <w:p>
      <w:pPr>
        <w:spacing w:line="480" w:lineRule="auto"/>
        <w:ind w:firstLine="480" w:firstLineChars="200"/>
        <w:rPr>
          <w:rFonts w:ascii="Calibri" w:hAnsi="Calibri"/>
          <w:sz w:val="24"/>
          <w:szCs w:val="24"/>
          <w:lang w:val="zh-CN"/>
        </w:rPr>
      </w:pPr>
      <w:r>
        <w:rPr>
          <w:rFonts w:hint="eastAsia" w:ascii="Calibri" w:hAnsi="Calibri"/>
          <w:sz w:val="24"/>
          <w:szCs w:val="24"/>
          <w:lang w:val="zh-CN"/>
        </w:rPr>
        <w:t>（</w:t>
      </w:r>
      <w:r>
        <w:rPr>
          <w:rFonts w:ascii="Calibri" w:hAnsi="Calibri"/>
          <w:sz w:val="24"/>
          <w:szCs w:val="24"/>
          <w:lang w:val="zh-CN"/>
        </w:rPr>
        <w:t>1</w:t>
      </w:r>
      <w:r>
        <w:rPr>
          <w:rFonts w:hint="eastAsia" w:ascii="Calibri" w:hAnsi="Calibri"/>
          <w:sz w:val="24"/>
          <w:szCs w:val="24"/>
          <w:lang w:val="zh-CN"/>
        </w:rPr>
        <w:t>）监理机构至少由以下人员组成：</w:t>
      </w:r>
    </w:p>
    <w:p>
      <w:pPr>
        <w:spacing w:line="480" w:lineRule="auto"/>
        <w:ind w:firstLine="480" w:firstLineChars="200"/>
        <w:rPr>
          <w:rFonts w:ascii="Calibri" w:hAnsi="Calibri"/>
          <w:sz w:val="24"/>
          <w:szCs w:val="24"/>
          <w:lang w:val="zh-CN"/>
        </w:rPr>
      </w:pPr>
      <w:r>
        <w:rPr>
          <w:rFonts w:hint="eastAsia" w:ascii="Calibri" w:hAnsi="Calibri"/>
          <w:sz w:val="24"/>
          <w:szCs w:val="24"/>
          <w:lang w:val="zh-CN"/>
        </w:rPr>
        <w:t>总监理工程师、专业监理工程师以及监理员。</w:t>
      </w:r>
    </w:p>
    <w:p>
      <w:pPr>
        <w:spacing w:line="480" w:lineRule="auto"/>
        <w:ind w:firstLine="480" w:firstLineChars="200"/>
        <w:rPr>
          <w:rFonts w:ascii="Calibri" w:hAnsi="Calibri"/>
          <w:sz w:val="24"/>
          <w:szCs w:val="24"/>
          <w:lang w:val="zh-CN"/>
        </w:rPr>
      </w:pPr>
      <w:r>
        <w:rPr>
          <w:rFonts w:hint="eastAsia" w:ascii="Calibri" w:hAnsi="Calibri"/>
          <w:sz w:val="24"/>
          <w:szCs w:val="24"/>
          <w:lang w:val="zh-CN"/>
        </w:rPr>
        <w:t>（</w:t>
      </w:r>
      <w:r>
        <w:rPr>
          <w:rFonts w:ascii="Calibri" w:hAnsi="Calibri"/>
          <w:sz w:val="24"/>
          <w:szCs w:val="24"/>
          <w:lang w:val="zh-CN"/>
        </w:rPr>
        <w:t>2</w:t>
      </w:r>
      <w:r>
        <w:rPr>
          <w:rFonts w:hint="eastAsia" w:ascii="Calibri" w:hAnsi="Calibri"/>
          <w:sz w:val="24"/>
          <w:szCs w:val="24"/>
          <w:lang w:val="zh-CN"/>
        </w:rPr>
        <w:t>）监理单位应符合以下人员资质要求</w:t>
      </w:r>
    </w:p>
    <w:tbl>
      <w:tblPr>
        <w:tblStyle w:val="20"/>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09"/>
        <w:gridCol w:w="2696"/>
        <w:gridCol w:w="2206"/>
        <w:gridCol w:w="2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1127" w:type="pct"/>
            <w:vAlign w:val="center"/>
          </w:tcPr>
          <w:p>
            <w:pPr>
              <w:spacing w:line="480" w:lineRule="auto"/>
              <w:jc w:val="center"/>
              <w:rPr>
                <w:rFonts w:ascii="Calibri" w:hAnsi="Calibri"/>
                <w:b/>
                <w:bCs/>
                <w:kern w:val="0"/>
                <w:szCs w:val="24"/>
              </w:rPr>
            </w:pPr>
            <w:r>
              <w:rPr>
                <w:rFonts w:hint="eastAsia" w:ascii="Calibri" w:hAnsi="Calibri"/>
                <w:b/>
                <w:bCs/>
                <w:kern w:val="0"/>
                <w:szCs w:val="24"/>
              </w:rPr>
              <w:t>岗位</w:t>
            </w:r>
          </w:p>
        </w:tc>
        <w:tc>
          <w:tcPr>
            <w:tcW w:w="1513" w:type="pct"/>
            <w:vAlign w:val="center"/>
          </w:tcPr>
          <w:p>
            <w:pPr>
              <w:spacing w:line="480" w:lineRule="auto"/>
              <w:jc w:val="center"/>
              <w:rPr>
                <w:rFonts w:ascii="Calibri" w:hAnsi="Calibri"/>
                <w:b/>
                <w:bCs/>
                <w:kern w:val="0"/>
                <w:szCs w:val="24"/>
              </w:rPr>
            </w:pPr>
            <w:r>
              <w:rPr>
                <w:rFonts w:hint="eastAsia" w:ascii="Calibri" w:hAnsi="Calibri"/>
                <w:b/>
                <w:bCs/>
                <w:kern w:val="0"/>
                <w:szCs w:val="24"/>
              </w:rPr>
              <w:t>人员要求说明</w:t>
            </w:r>
          </w:p>
        </w:tc>
        <w:tc>
          <w:tcPr>
            <w:tcW w:w="1238" w:type="pct"/>
            <w:vAlign w:val="center"/>
          </w:tcPr>
          <w:p>
            <w:pPr>
              <w:spacing w:line="480" w:lineRule="auto"/>
              <w:jc w:val="center"/>
              <w:rPr>
                <w:rFonts w:ascii="Calibri" w:hAnsi="Calibri"/>
                <w:b/>
                <w:bCs/>
                <w:kern w:val="0"/>
                <w:szCs w:val="24"/>
              </w:rPr>
            </w:pPr>
            <w:r>
              <w:rPr>
                <w:rFonts w:hint="eastAsia" w:ascii="Calibri" w:hAnsi="Calibri"/>
                <w:b/>
                <w:bCs/>
                <w:kern w:val="0"/>
                <w:szCs w:val="24"/>
              </w:rPr>
              <w:t>常驻现场说明</w:t>
            </w:r>
          </w:p>
        </w:tc>
        <w:tc>
          <w:tcPr>
            <w:tcW w:w="1122" w:type="pct"/>
            <w:vAlign w:val="center"/>
          </w:tcPr>
          <w:p>
            <w:pPr>
              <w:spacing w:line="480" w:lineRule="auto"/>
              <w:jc w:val="center"/>
              <w:rPr>
                <w:rFonts w:ascii="Calibri" w:hAnsi="Calibri"/>
                <w:b/>
                <w:bCs/>
                <w:kern w:val="0"/>
                <w:szCs w:val="24"/>
              </w:rPr>
            </w:pPr>
            <w:r>
              <w:rPr>
                <w:rFonts w:hint="eastAsia" w:ascii="Calibri" w:hAnsi="Calibri"/>
                <w:b/>
                <w:bCs/>
                <w:kern w:val="0"/>
                <w:szCs w:val="24"/>
              </w:rPr>
              <w:t>监理工程师数量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7" w:type="pct"/>
            <w:vAlign w:val="center"/>
          </w:tcPr>
          <w:p>
            <w:pPr>
              <w:spacing w:line="480" w:lineRule="auto"/>
              <w:jc w:val="left"/>
              <w:rPr>
                <w:rFonts w:ascii="Calibri" w:hAnsi="Calibri"/>
                <w:kern w:val="0"/>
                <w:szCs w:val="24"/>
              </w:rPr>
            </w:pPr>
            <w:r>
              <w:rPr>
                <w:rFonts w:hint="eastAsia" w:ascii="Calibri" w:hAnsi="Calibri"/>
                <w:kern w:val="0"/>
                <w:szCs w:val="24"/>
              </w:rPr>
              <w:t>总监理工程师</w:t>
            </w:r>
          </w:p>
        </w:tc>
        <w:tc>
          <w:tcPr>
            <w:tcW w:w="1513" w:type="pct"/>
            <w:vAlign w:val="center"/>
          </w:tcPr>
          <w:p>
            <w:pPr>
              <w:spacing w:line="480" w:lineRule="auto"/>
              <w:jc w:val="center"/>
              <w:rPr>
                <w:rFonts w:ascii="Calibri" w:hAnsi="Calibri"/>
                <w:kern w:val="0"/>
                <w:szCs w:val="24"/>
              </w:rPr>
            </w:pPr>
            <w:r>
              <w:rPr>
                <w:rFonts w:hint="eastAsia" w:ascii="Calibri" w:hAnsi="Calibri"/>
                <w:kern w:val="0"/>
                <w:szCs w:val="24"/>
              </w:rPr>
              <w:t>注册监理工程师(电力工程专业或机电安装工程专业)</w:t>
            </w:r>
          </w:p>
        </w:tc>
        <w:tc>
          <w:tcPr>
            <w:tcW w:w="1238" w:type="pct"/>
            <w:vAlign w:val="center"/>
          </w:tcPr>
          <w:p>
            <w:pPr>
              <w:spacing w:line="480" w:lineRule="auto"/>
              <w:jc w:val="center"/>
              <w:rPr>
                <w:rFonts w:ascii="Calibri" w:hAnsi="Calibri"/>
                <w:kern w:val="0"/>
                <w:szCs w:val="24"/>
              </w:rPr>
            </w:pPr>
            <w:r>
              <w:rPr>
                <w:rFonts w:hint="eastAsia" w:ascii="Calibri" w:hAnsi="Calibri"/>
                <w:kern w:val="0"/>
                <w:szCs w:val="24"/>
              </w:rPr>
              <w:t>按监理考核指标执行</w:t>
            </w:r>
          </w:p>
        </w:tc>
        <w:tc>
          <w:tcPr>
            <w:tcW w:w="1122" w:type="pct"/>
            <w:vAlign w:val="center"/>
          </w:tcPr>
          <w:p>
            <w:pPr>
              <w:spacing w:line="480" w:lineRule="auto"/>
              <w:jc w:val="center"/>
              <w:rPr>
                <w:rFonts w:ascii="Calibri" w:hAnsi="Calibri"/>
                <w:kern w:val="0"/>
                <w:szCs w:val="24"/>
              </w:rPr>
            </w:pPr>
            <w:r>
              <w:rPr>
                <w:rFonts w:ascii="Calibri" w:hAnsi="Calibri"/>
                <w:kern w:val="0"/>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127" w:type="pct"/>
            <w:vAlign w:val="center"/>
          </w:tcPr>
          <w:p>
            <w:pPr>
              <w:spacing w:line="480" w:lineRule="auto"/>
              <w:jc w:val="left"/>
              <w:rPr>
                <w:rFonts w:ascii="Calibri" w:hAnsi="Calibri"/>
                <w:kern w:val="0"/>
                <w:szCs w:val="24"/>
              </w:rPr>
            </w:pPr>
            <w:r>
              <w:rPr>
                <w:rFonts w:hint="eastAsia" w:ascii="Calibri" w:hAnsi="Calibri"/>
                <w:kern w:val="0"/>
                <w:szCs w:val="24"/>
              </w:rPr>
              <w:t>专业监理工程师</w:t>
            </w:r>
          </w:p>
        </w:tc>
        <w:tc>
          <w:tcPr>
            <w:tcW w:w="1513" w:type="pct"/>
            <w:vAlign w:val="center"/>
          </w:tcPr>
          <w:p>
            <w:pPr>
              <w:spacing w:line="480" w:lineRule="auto"/>
              <w:jc w:val="center"/>
              <w:rPr>
                <w:rFonts w:ascii="Calibri" w:hAnsi="Calibri"/>
                <w:kern w:val="0"/>
                <w:szCs w:val="24"/>
              </w:rPr>
            </w:pPr>
            <w:r>
              <w:rPr>
                <w:rFonts w:hint="eastAsia" w:ascii="Calibri" w:hAnsi="Calibri"/>
                <w:kern w:val="0"/>
                <w:szCs w:val="24"/>
              </w:rPr>
              <w:t>注册监理工程师(电力工程专业或机电安装工程专业)</w:t>
            </w:r>
          </w:p>
        </w:tc>
        <w:tc>
          <w:tcPr>
            <w:tcW w:w="1238" w:type="pct"/>
            <w:vAlign w:val="center"/>
          </w:tcPr>
          <w:p>
            <w:pPr>
              <w:spacing w:line="480" w:lineRule="auto"/>
              <w:jc w:val="center"/>
              <w:rPr>
                <w:rFonts w:ascii="Calibri" w:hAnsi="Calibri"/>
                <w:kern w:val="0"/>
                <w:szCs w:val="24"/>
              </w:rPr>
            </w:pPr>
            <w:r>
              <w:rPr>
                <w:rFonts w:hint="eastAsia" w:ascii="Calibri" w:hAnsi="Calibri"/>
                <w:kern w:val="0"/>
                <w:szCs w:val="24"/>
              </w:rPr>
              <w:t>按监理考核指标执行</w:t>
            </w:r>
          </w:p>
        </w:tc>
        <w:tc>
          <w:tcPr>
            <w:tcW w:w="1122" w:type="pct"/>
            <w:vAlign w:val="center"/>
          </w:tcPr>
          <w:p>
            <w:pPr>
              <w:spacing w:line="480" w:lineRule="auto"/>
              <w:jc w:val="center"/>
              <w:rPr>
                <w:rFonts w:ascii="Calibri" w:hAnsi="Calibri"/>
                <w:kern w:val="0"/>
                <w:szCs w:val="24"/>
              </w:rPr>
            </w:pPr>
            <w:r>
              <w:rPr>
                <w:rFonts w:ascii="Calibri" w:hAnsi="Calibri"/>
                <w:kern w:val="0"/>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27" w:type="pct"/>
            <w:vAlign w:val="center"/>
          </w:tcPr>
          <w:p>
            <w:pPr>
              <w:spacing w:line="480" w:lineRule="auto"/>
              <w:jc w:val="left"/>
              <w:rPr>
                <w:rFonts w:ascii="Calibri" w:hAnsi="Calibri"/>
                <w:kern w:val="0"/>
                <w:szCs w:val="24"/>
              </w:rPr>
            </w:pPr>
            <w:r>
              <w:rPr>
                <w:rFonts w:hint="eastAsia" w:ascii="Calibri" w:hAnsi="Calibri"/>
                <w:kern w:val="0"/>
                <w:szCs w:val="24"/>
              </w:rPr>
              <w:t>监理员</w:t>
            </w:r>
          </w:p>
        </w:tc>
        <w:tc>
          <w:tcPr>
            <w:tcW w:w="1513" w:type="pct"/>
            <w:vAlign w:val="center"/>
          </w:tcPr>
          <w:p>
            <w:pPr>
              <w:spacing w:line="480" w:lineRule="auto"/>
              <w:jc w:val="center"/>
              <w:rPr>
                <w:rFonts w:ascii="Calibri" w:hAnsi="Calibri"/>
                <w:kern w:val="0"/>
                <w:szCs w:val="24"/>
              </w:rPr>
            </w:pPr>
            <w:r>
              <w:rPr>
                <w:rFonts w:hint="eastAsia" w:ascii="Calibri" w:hAnsi="Calibri"/>
                <w:kern w:val="0"/>
                <w:szCs w:val="24"/>
              </w:rPr>
              <w:t>/</w:t>
            </w:r>
          </w:p>
        </w:tc>
        <w:tc>
          <w:tcPr>
            <w:tcW w:w="1238" w:type="pct"/>
            <w:vAlign w:val="center"/>
          </w:tcPr>
          <w:p>
            <w:pPr>
              <w:spacing w:line="480" w:lineRule="auto"/>
              <w:jc w:val="center"/>
              <w:rPr>
                <w:rFonts w:ascii="Calibri" w:hAnsi="Calibri"/>
                <w:kern w:val="0"/>
                <w:szCs w:val="24"/>
              </w:rPr>
            </w:pPr>
            <w:r>
              <w:rPr>
                <w:rFonts w:hint="eastAsia" w:ascii="Calibri" w:hAnsi="Calibri"/>
                <w:kern w:val="0"/>
                <w:szCs w:val="24"/>
              </w:rPr>
              <w:t>按监理考核指标执行</w:t>
            </w:r>
          </w:p>
        </w:tc>
        <w:tc>
          <w:tcPr>
            <w:tcW w:w="1122" w:type="pct"/>
            <w:vAlign w:val="center"/>
          </w:tcPr>
          <w:p>
            <w:pPr>
              <w:spacing w:line="480" w:lineRule="auto"/>
              <w:jc w:val="center"/>
              <w:rPr>
                <w:rFonts w:ascii="Calibri" w:hAnsi="Calibri"/>
                <w:kern w:val="0"/>
                <w:szCs w:val="24"/>
              </w:rPr>
            </w:pPr>
            <w:r>
              <w:rPr>
                <w:rFonts w:hint="eastAsia" w:ascii="Calibri" w:hAnsi="Calibri"/>
                <w:kern w:val="0"/>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78" w:type="pct"/>
            <w:gridSpan w:val="3"/>
            <w:vAlign w:val="center"/>
          </w:tcPr>
          <w:p>
            <w:pPr>
              <w:spacing w:line="480" w:lineRule="auto"/>
              <w:jc w:val="center"/>
              <w:rPr>
                <w:rFonts w:ascii="Calibri" w:hAnsi="Calibri"/>
                <w:kern w:val="0"/>
                <w:szCs w:val="24"/>
              </w:rPr>
            </w:pPr>
            <w:r>
              <w:rPr>
                <w:rFonts w:hint="eastAsia" w:ascii="Calibri" w:hAnsi="Calibri"/>
                <w:kern w:val="0"/>
                <w:szCs w:val="24"/>
              </w:rPr>
              <w:t>合计</w:t>
            </w:r>
          </w:p>
        </w:tc>
        <w:tc>
          <w:tcPr>
            <w:tcW w:w="1122" w:type="pct"/>
            <w:vAlign w:val="center"/>
          </w:tcPr>
          <w:p>
            <w:pPr>
              <w:spacing w:line="480" w:lineRule="auto"/>
              <w:jc w:val="center"/>
              <w:rPr>
                <w:rFonts w:ascii="Calibri" w:hAnsi="Calibri"/>
                <w:kern w:val="0"/>
                <w:szCs w:val="24"/>
              </w:rPr>
            </w:pPr>
            <w:r>
              <w:rPr>
                <w:rFonts w:hint="eastAsia" w:ascii="Calibri" w:hAnsi="Calibri"/>
                <w:kern w:val="0"/>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4"/>
            <w:vAlign w:val="center"/>
          </w:tcPr>
          <w:p>
            <w:pPr>
              <w:spacing w:line="480" w:lineRule="auto"/>
              <w:ind w:left="107"/>
              <w:jc w:val="left"/>
              <w:rPr>
                <w:rFonts w:ascii="Calibri" w:hAnsi="Calibri"/>
                <w:kern w:val="0"/>
                <w:szCs w:val="24"/>
              </w:rPr>
            </w:pPr>
            <w:r>
              <w:rPr>
                <w:rFonts w:hint="eastAsia" w:ascii="Calibri" w:hAnsi="Calibri"/>
                <w:kern w:val="0"/>
                <w:szCs w:val="24"/>
              </w:rPr>
              <w:t>备注：</w:t>
            </w:r>
          </w:p>
          <w:p>
            <w:pPr>
              <w:spacing w:line="480" w:lineRule="auto"/>
              <w:ind w:left="107" w:right="219"/>
              <w:jc w:val="left"/>
              <w:rPr>
                <w:rFonts w:ascii="Calibri" w:hAnsi="Calibri"/>
                <w:kern w:val="0"/>
                <w:szCs w:val="24"/>
              </w:rPr>
            </w:pPr>
            <w:r>
              <w:rPr>
                <w:rFonts w:hint="eastAsia" w:ascii="Calibri" w:hAnsi="Calibri"/>
                <w:kern w:val="0"/>
                <w:szCs w:val="24"/>
              </w:rPr>
              <w:t>（</w:t>
            </w:r>
            <w:r>
              <w:rPr>
                <w:rFonts w:ascii="Calibri" w:hAnsi="Calibri"/>
                <w:kern w:val="0"/>
                <w:szCs w:val="24"/>
              </w:rPr>
              <w:t>1</w:t>
            </w:r>
            <w:r>
              <w:rPr>
                <w:rFonts w:hint="eastAsia" w:ascii="Calibri" w:hAnsi="Calibri"/>
                <w:kern w:val="0"/>
                <w:szCs w:val="24"/>
              </w:rPr>
              <w:t>）投标人可根据采购需求和项目实际情况合理设置人员架构，且不得低于上表所列监理人员配额。</w:t>
            </w:r>
          </w:p>
          <w:p>
            <w:pPr>
              <w:spacing w:line="480" w:lineRule="auto"/>
              <w:ind w:left="107" w:right="219"/>
              <w:jc w:val="left"/>
              <w:rPr>
                <w:rFonts w:ascii="Calibri" w:hAnsi="Calibri"/>
                <w:kern w:val="0"/>
                <w:szCs w:val="24"/>
              </w:rPr>
            </w:pPr>
            <w:r>
              <w:rPr>
                <w:rFonts w:hint="eastAsia" w:ascii="Calibri" w:hAnsi="Calibri"/>
                <w:kern w:val="0"/>
                <w:szCs w:val="24"/>
              </w:rPr>
              <w:t>（2）合同签订前，成交人须提交项目组人员资质证书原件至采购人处进行查验，方可签订监理合同。否则采购人有权力拒签合同。</w:t>
            </w:r>
          </w:p>
        </w:tc>
      </w:tr>
    </w:tbl>
    <w:p>
      <w:pPr>
        <w:spacing w:after="120"/>
        <w:ind w:firstLine="200" w:firstLineChars="100"/>
        <w:rPr>
          <w:kern w:val="0"/>
          <w:sz w:val="20"/>
          <w:szCs w:val="20"/>
        </w:rPr>
      </w:pPr>
    </w:p>
    <w:p>
      <w:pPr>
        <w:pStyle w:val="3"/>
        <w:tabs>
          <w:tab w:val="left" w:pos="1125"/>
        </w:tabs>
        <w:spacing w:line="360" w:lineRule="auto"/>
        <w:ind w:right="133"/>
        <w:jc w:val="center"/>
        <w:rPr>
          <w:rFonts w:ascii="宋体" w:hAnsi="宋体"/>
          <w:sz w:val="32"/>
          <w:szCs w:val="32"/>
        </w:rPr>
      </w:pPr>
      <w:r>
        <w:rPr>
          <w:rFonts w:ascii="宋体" w:hAnsi="宋体"/>
          <w:sz w:val="32"/>
          <w:szCs w:val="32"/>
        </w:rPr>
        <w:t>第四章</w:t>
      </w:r>
      <w:r>
        <w:rPr>
          <w:rFonts w:ascii="宋体" w:hAnsi="宋体"/>
          <w:sz w:val="32"/>
          <w:szCs w:val="32"/>
        </w:rPr>
        <w:tab/>
      </w:r>
      <w:r>
        <w:rPr>
          <w:rFonts w:hint="eastAsia" w:ascii="宋体" w:hAnsi="宋体"/>
          <w:sz w:val="32"/>
          <w:szCs w:val="32"/>
        </w:rPr>
        <w:t xml:space="preserve"> </w:t>
      </w:r>
      <w:r>
        <w:rPr>
          <w:rFonts w:ascii="宋体" w:hAnsi="宋体"/>
          <w:sz w:val="32"/>
          <w:szCs w:val="32"/>
        </w:rPr>
        <w:t>评审方法和标准</w:t>
      </w:r>
    </w:p>
    <w:p>
      <w:pPr>
        <w:pStyle w:val="6"/>
      </w:pPr>
      <w:r>
        <w:t>一、总则</w:t>
      </w:r>
    </w:p>
    <w:p>
      <w:pPr>
        <w:pStyle w:val="9"/>
        <w:spacing w:before="160" w:line="360" w:lineRule="auto"/>
        <w:ind w:left="671" w:right="413" w:hanging="3"/>
        <w:rPr>
          <w:sz w:val="21"/>
          <w:szCs w:val="21"/>
        </w:rPr>
      </w:pPr>
      <w:r>
        <w:rPr>
          <w:sz w:val="21"/>
          <w:szCs w:val="21"/>
        </w:rPr>
        <w:t>本项目将按照竞争性磋商文件第二章 供应商须知的相关要求及本章的规定评审。</w:t>
      </w:r>
    </w:p>
    <w:p>
      <w:pPr>
        <w:pStyle w:val="9"/>
        <w:spacing w:before="160" w:line="360" w:lineRule="auto"/>
        <w:ind w:left="671" w:right="413" w:hanging="3"/>
        <w:rPr>
          <w:b/>
          <w:sz w:val="21"/>
          <w:szCs w:val="21"/>
        </w:rPr>
      </w:pPr>
      <w:r>
        <w:rPr>
          <w:rFonts w:cs="Times New Roman"/>
          <w:b/>
          <w:bCs/>
          <w:kern w:val="2"/>
          <w:sz w:val="21"/>
          <w:szCs w:val="21"/>
          <w:lang w:val="en-US" w:bidi="ar-SA"/>
        </w:rPr>
        <w:t>二、评审方法</w:t>
      </w:r>
    </w:p>
    <w:p>
      <w:pPr>
        <w:pStyle w:val="33"/>
        <w:numPr>
          <w:ilvl w:val="1"/>
          <w:numId w:val="20"/>
        </w:numPr>
        <w:tabs>
          <w:tab w:val="left" w:pos="1090"/>
        </w:tabs>
        <w:spacing w:before="5" w:line="360" w:lineRule="auto"/>
        <w:ind w:hanging="421"/>
        <w:rPr>
          <w:sz w:val="21"/>
          <w:szCs w:val="21"/>
        </w:rPr>
      </w:pPr>
      <w:r>
        <w:rPr>
          <w:sz w:val="21"/>
          <w:szCs w:val="21"/>
        </w:rPr>
        <w:t>初审</w:t>
      </w:r>
    </w:p>
    <w:p>
      <w:pPr>
        <w:pStyle w:val="9"/>
        <w:spacing w:before="159" w:line="360" w:lineRule="auto"/>
        <w:ind w:left="234" w:right="373" w:firstLine="434"/>
        <w:rPr>
          <w:sz w:val="21"/>
          <w:szCs w:val="21"/>
        </w:rPr>
      </w:pPr>
      <w:r>
        <w:rPr>
          <w:spacing w:val="-6"/>
          <w:sz w:val="21"/>
          <w:szCs w:val="21"/>
        </w:rPr>
        <w:t>竞争性磋商小组对供应商的响应文件进行初审，以确定其是否满足竞争性磋商文件的实质</w:t>
      </w:r>
      <w:r>
        <w:rPr>
          <w:sz w:val="21"/>
          <w:szCs w:val="21"/>
        </w:rPr>
        <w:t>性要求。初审表如下：</w:t>
      </w:r>
    </w:p>
    <w:p>
      <w:pPr>
        <w:widowControl/>
        <w:jc w:val="left"/>
        <w:rPr>
          <w:rFonts w:ascii="宋体" w:hAnsi="宋体"/>
        </w:rPr>
      </w:pPr>
      <w:r>
        <w:rPr>
          <w:rFonts w:ascii="宋体" w:hAnsi="宋体"/>
          <w:b/>
        </w:rPr>
        <w:t>初审指标通过标准：</w:t>
      </w:r>
      <w:r>
        <w:rPr>
          <w:rFonts w:ascii="宋体" w:hAnsi="宋体"/>
        </w:rPr>
        <w:t>供应商必须通过初审表中的全部评审指标。</w:t>
      </w:r>
    </w:p>
    <w:tbl>
      <w:tblPr>
        <w:tblStyle w:val="20"/>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tcPr>
          <w:p>
            <w:pPr>
              <w:pStyle w:val="45"/>
              <w:spacing w:before="28" w:line="360" w:lineRule="auto"/>
              <w:ind w:left="3870" w:right="3853"/>
              <w:jc w:val="center"/>
              <w:rPr>
                <w:b/>
                <w:sz w:val="21"/>
                <w:szCs w:val="21"/>
                <w:lang w:eastAsia="en-US"/>
              </w:rPr>
            </w:pPr>
            <w:r>
              <w:rPr>
                <w:b/>
                <w:sz w:val="21"/>
                <w:szCs w:val="21"/>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tcPr>
          <w:p>
            <w:pPr>
              <w:pStyle w:val="45"/>
              <w:spacing w:line="360" w:lineRule="auto"/>
              <w:ind w:left="102" w:right="83"/>
              <w:jc w:val="center"/>
              <w:rPr>
                <w:sz w:val="21"/>
                <w:szCs w:val="21"/>
                <w:lang w:eastAsia="en-US"/>
              </w:rPr>
            </w:pPr>
            <w:r>
              <w:rPr>
                <w:sz w:val="21"/>
                <w:szCs w:val="21"/>
                <w:lang w:eastAsia="en-US"/>
              </w:rPr>
              <w:t>序号</w:t>
            </w:r>
          </w:p>
        </w:tc>
        <w:tc>
          <w:tcPr>
            <w:tcW w:w="1654" w:type="dxa"/>
          </w:tcPr>
          <w:p>
            <w:pPr>
              <w:pStyle w:val="45"/>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tcPr>
          <w:p>
            <w:pPr>
              <w:pStyle w:val="45"/>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tcPr>
          <w:p>
            <w:pPr>
              <w:pStyle w:val="45"/>
              <w:spacing w:line="360" w:lineRule="auto"/>
              <w:ind w:left="1095"/>
              <w:rPr>
                <w:sz w:val="21"/>
                <w:szCs w:val="21"/>
                <w:lang w:eastAsia="en-US"/>
              </w:rPr>
            </w:pPr>
            <w:r>
              <w:rPr>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tcPr>
          <w:p>
            <w:pPr>
              <w:pStyle w:val="45"/>
              <w:spacing w:line="360" w:lineRule="auto"/>
              <w:rPr>
                <w:sz w:val="21"/>
                <w:szCs w:val="21"/>
                <w:lang w:eastAsia="en-US"/>
              </w:rPr>
            </w:pPr>
          </w:p>
          <w:p>
            <w:pPr>
              <w:pStyle w:val="45"/>
              <w:spacing w:before="4" w:line="360" w:lineRule="auto"/>
              <w:rPr>
                <w:sz w:val="21"/>
                <w:szCs w:val="21"/>
                <w:lang w:eastAsia="en-US"/>
              </w:rPr>
            </w:pPr>
          </w:p>
          <w:p>
            <w:pPr>
              <w:pStyle w:val="45"/>
              <w:spacing w:line="360" w:lineRule="auto"/>
              <w:ind w:left="19"/>
              <w:jc w:val="center"/>
              <w:rPr>
                <w:sz w:val="21"/>
                <w:szCs w:val="21"/>
                <w:lang w:eastAsia="en-US"/>
              </w:rPr>
            </w:pPr>
            <w:r>
              <w:rPr>
                <w:sz w:val="21"/>
                <w:szCs w:val="21"/>
                <w:lang w:eastAsia="en-US"/>
              </w:rPr>
              <w:t>1</w:t>
            </w:r>
          </w:p>
        </w:tc>
        <w:tc>
          <w:tcPr>
            <w:tcW w:w="1654" w:type="dxa"/>
          </w:tcPr>
          <w:p>
            <w:pPr>
              <w:pStyle w:val="45"/>
              <w:spacing w:line="360" w:lineRule="auto"/>
              <w:rPr>
                <w:sz w:val="21"/>
                <w:szCs w:val="21"/>
                <w:lang w:eastAsia="en-US"/>
              </w:rPr>
            </w:pPr>
          </w:p>
          <w:p>
            <w:pPr>
              <w:pStyle w:val="45"/>
              <w:spacing w:before="6" w:line="360" w:lineRule="auto"/>
              <w:rPr>
                <w:sz w:val="21"/>
                <w:szCs w:val="21"/>
                <w:lang w:eastAsia="en-US"/>
              </w:rPr>
            </w:pPr>
          </w:p>
          <w:p>
            <w:pPr>
              <w:pStyle w:val="45"/>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tcPr>
          <w:p>
            <w:pPr>
              <w:pStyle w:val="45"/>
              <w:spacing w:line="360" w:lineRule="auto"/>
              <w:rPr>
                <w:sz w:val="21"/>
                <w:szCs w:val="21"/>
                <w:lang w:eastAsia="en-US"/>
              </w:rPr>
            </w:pPr>
          </w:p>
          <w:p>
            <w:pPr>
              <w:pStyle w:val="45"/>
              <w:spacing w:before="6" w:line="360" w:lineRule="auto"/>
              <w:rPr>
                <w:sz w:val="21"/>
                <w:szCs w:val="21"/>
                <w:lang w:eastAsia="en-US"/>
              </w:rPr>
            </w:pPr>
          </w:p>
          <w:p>
            <w:pPr>
              <w:pStyle w:val="45"/>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tcPr>
          <w:p>
            <w:pPr>
              <w:pStyle w:val="45"/>
              <w:spacing w:line="360" w:lineRule="auto"/>
              <w:ind w:left="106" w:right="-29"/>
              <w:rPr>
                <w:sz w:val="21"/>
                <w:szCs w:val="21"/>
                <w:lang w:eastAsia="en-US"/>
              </w:rPr>
            </w:pPr>
            <w:r>
              <w:rPr>
                <w:sz w:val="21"/>
                <w:szCs w:val="21"/>
              </w:rPr>
              <w:t>提供有效的供应商营业执照（或事业单位法人登记证书）和税务登记证的扫描件或影印件，应完整的体现出营业执照（或事业单位法人登记证书</w:t>
            </w:r>
            <w:r>
              <w:rPr>
                <w:spacing w:val="-70"/>
                <w:sz w:val="21"/>
                <w:szCs w:val="21"/>
              </w:rPr>
              <w:t>）</w:t>
            </w:r>
            <w:r>
              <w:rPr>
                <w:spacing w:val="-1"/>
                <w:sz w:val="21"/>
                <w:szCs w:val="21"/>
              </w:rPr>
              <w:t>和税务登记证的全部内容。</w:t>
            </w:r>
            <w:r>
              <w:rPr>
                <w:sz w:val="21"/>
                <w:szCs w:val="21"/>
              </w:rPr>
              <w:t>已办理“三证合一”登记的，响应文件中提供营业执照（或事业单位法人登记证书）扫描件即可。</w:t>
            </w:r>
            <w:r>
              <w:rPr>
                <w:sz w:val="21"/>
                <w:szCs w:val="21"/>
                <w:lang w:eastAsia="en-US"/>
              </w:rPr>
              <w:t>联合体参加磋商的联合体各方均须提供。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715" w:type="dxa"/>
          </w:tcPr>
          <w:p>
            <w:pPr>
              <w:pStyle w:val="45"/>
              <w:spacing w:line="360" w:lineRule="auto"/>
              <w:rPr>
                <w:sz w:val="21"/>
                <w:szCs w:val="21"/>
                <w:lang w:eastAsia="en-US"/>
              </w:rPr>
            </w:pPr>
          </w:p>
          <w:p>
            <w:pPr>
              <w:pStyle w:val="45"/>
              <w:spacing w:line="360" w:lineRule="auto"/>
              <w:rPr>
                <w:sz w:val="21"/>
                <w:szCs w:val="21"/>
                <w:lang w:eastAsia="en-US"/>
              </w:rPr>
            </w:pPr>
          </w:p>
          <w:p>
            <w:pPr>
              <w:pStyle w:val="45"/>
              <w:spacing w:line="360" w:lineRule="auto"/>
              <w:rPr>
                <w:sz w:val="21"/>
                <w:szCs w:val="21"/>
                <w:lang w:eastAsia="en-US"/>
              </w:rPr>
            </w:pPr>
          </w:p>
          <w:p>
            <w:pPr>
              <w:pStyle w:val="45"/>
              <w:spacing w:before="12" w:line="360" w:lineRule="auto"/>
              <w:rPr>
                <w:sz w:val="21"/>
                <w:szCs w:val="21"/>
                <w:lang w:eastAsia="en-US"/>
              </w:rPr>
            </w:pPr>
          </w:p>
          <w:p>
            <w:pPr>
              <w:pStyle w:val="45"/>
              <w:spacing w:line="360" w:lineRule="auto"/>
              <w:ind w:left="19"/>
              <w:jc w:val="center"/>
              <w:rPr>
                <w:sz w:val="21"/>
                <w:szCs w:val="21"/>
                <w:lang w:eastAsia="en-US"/>
              </w:rPr>
            </w:pPr>
            <w:r>
              <w:rPr>
                <w:sz w:val="21"/>
                <w:szCs w:val="21"/>
                <w:lang w:eastAsia="en-US"/>
              </w:rPr>
              <w:t>2</w:t>
            </w:r>
          </w:p>
        </w:tc>
        <w:tc>
          <w:tcPr>
            <w:tcW w:w="1654" w:type="dxa"/>
          </w:tcPr>
          <w:p>
            <w:pPr>
              <w:pStyle w:val="45"/>
              <w:spacing w:line="360" w:lineRule="auto"/>
              <w:rPr>
                <w:sz w:val="21"/>
                <w:szCs w:val="21"/>
                <w:lang w:eastAsia="en-US"/>
              </w:rPr>
            </w:pPr>
          </w:p>
          <w:p>
            <w:pPr>
              <w:pStyle w:val="45"/>
              <w:spacing w:line="360" w:lineRule="auto"/>
              <w:rPr>
                <w:sz w:val="21"/>
                <w:szCs w:val="21"/>
                <w:lang w:eastAsia="en-US"/>
              </w:rPr>
            </w:pPr>
          </w:p>
          <w:p>
            <w:pPr>
              <w:pStyle w:val="45"/>
              <w:spacing w:line="360" w:lineRule="auto"/>
              <w:rPr>
                <w:sz w:val="21"/>
                <w:szCs w:val="21"/>
                <w:lang w:eastAsia="en-US"/>
              </w:rPr>
            </w:pPr>
          </w:p>
          <w:p>
            <w:pPr>
              <w:pStyle w:val="45"/>
              <w:spacing w:before="11" w:line="360" w:lineRule="auto"/>
              <w:rPr>
                <w:sz w:val="21"/>
                <w:szCs w:val="21"/>
                <w:lang w:eastAsia="en-US"/>
              </w:rPr>
            </w:pPr>
          </w:p>
          <w:p>
            <w:pPr>
              <w:pStyle w:val="45"/>
              <w:spacing w:before="1"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tcPr>
          <w:p>
            <w:pPr>
              <w:pStyle w:val="45"/>
              <w:spacing w:line="360" w:lineRule="auto"/>
              <w:rPr>
                <w:sz w:val="21"/>
                <w:szCs w:val="21"/>
                <w:lang w:eastAsia="en-US"/>
              </w:rPr>
            </w:pPr>
          </w:p>
          <w:p>
            <w:pPr>
              <w:pStyle w:val="45"/>
              <w:spacing w:line="360" w:lineRule="auto"/>
              <w:rPr>
                <w:sz w:val="21"/>
                <w:szCs w:val="21"/>
                <w:lang w:eastAsia="en-US"/>
              </w:rPr>
            </w:pPr>
          </w:p>
          <w:p>
            <w:pPr>
              <w:pStyle w:val="45"/>
              <w:spacing w:line="360" w:lineRule="auto"/>
              <w:rPr>
                <w:sz w:val="21"/>
                <w:szCs w:val="21"/>
                <w:lang w:eastAsia="en-US"/>
              </w:rPr>
            </w:pPr>
          </w:p>
          <w:p>
            <w:pPr>
              <w:pStyle w:val="45"/>
              <w:spacing w:before="11" w:line="360" w:lineRule="auto"/>
              <w:rPr>
                <w:sz w:val="21"/>
                <w:szCs w:val="21"/>
                <w:lang w:eastAsia="en-US"/>
              </w:rPr>
            </w:pPr>
          </w:p>
          <w:p>
            <w:pPr>
              <w:pStyle w:val="45"/>
              <w:spacing w:before="1"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tcPr>
          <w:p>
            <w:pPr>
              <w:autoSpaceDE w:val="0"/>
              <w:autoSpaceDN w:val="0"/>
              <w:spacing w:line="360" w:lineRule="auto"/>
              <w:rPr>
                <w:rFonts w:ascii="宋体" w:hAnsi="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tcPr>
          <w:p>
            <w:pPr>
              <w:pStyle w:val="45"/>
              <w:spacing w:line="360" w:lineRule="auto"/>
              <w:rPr>
                <w:sz w:val="21"/>
                <w:szCs w:val="21"/>
              </w:rPr>
            </w:pPr>
          </w:p>
          <w:p>
            <w:pPr>
              <w:pStyle w:val="45"/>
              <w:spacing w:before="7" w:line="360" w:lineRule="auto"/>
              <w:rPr>
                <w:sz w:val="21"/>
                <w:szCs w:val="21"/>
              </w:rPr>
            </w:pPr>
          </w:p>
          <w:p>
            <w:pPr>
              <w:pStyle w:val="45"/>
              <w:spacing w:line="360" w:lineRule="auto"/>
              <w:ind w:left="19"/>
              <w:jc w:val="center"/>
              <w:rPr>
                <w:sz w:val="21"/>
                <w:szCs w:val="21"/>
              </w:rPr>
            </w:pPr>
            <w:r>
              <w:rPr>
                <w:rFonts w:hint="eastAsia"/>
                <w:sz w:val="21"/>
                <w:szCs w:val="21"/>
              </w:rPr>
              <w:t>3</w:t>
            </w:r>
          </w:p>
        </w:tc>
        <w:tc>
          <w:tcPr>
            <w:tcW w:w="1654" w:type="dxa"/>
          </w:tcPr>
          <w:p>
            <w:pPr>
              <w:pStyle w:val="45"/>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tcPr>
          <w:p>
            <w:pPr>
              <w:pStyle w:val="45"/>
              <w:spacing w:before="1" w:line="360" w:lineRule="auto"/>
              <w:rPr>
                <w:sz w:val="21"/>
                <w:szCs w:val="21"/>
              </w:rPr>
            </w:pPr>
          </w:p>
          <w:p>
            <w:pPr>
              <w:pStyle w:val="45"/>
              <w:spacing w:before="1" w:line="360" w:lineRule="auto"/>
              <w:ind w:left="172" w:right="83" w:hanging="68"/>
              <w:jc w:val="both"/>
              <w:rPr>
                <w:sz w:val="21"/>
                <w:szCs w:val="21"/>
              </w:rPr>
            </w:pPr>
            <w:r>
              <w:rPr>
                <w:spacing w:val="-16"/>
                <w:sz w:val="21"/>
                <w:szCs w:val="21"/>
              </w:rPr>
              <w:t>格式、填写要求符合</w:t>
            </w:r>
            <w:r>
              <w:rPr>
                <w:sz w:val="21"/>
                <w:szCs w:val="21"/>
              </w:rPr>
              <w:t>磋商文件规定并加盖供应商电子签章</w:t>
            </w:r>
          </w:p>
        </w:tc>
        <w:tc>
          <w:tcPr>
            <w:tcW w:w="3869" w:type="dxa"/>
            <w:tcBorders>
              <w:left w:val="single" w:color="000000" w:sz="6" w:space="0"/>
            </w:tcBorders>
          </w:tcPr>
          <w:p>
            <w:pPr>
              <w:pStyle w:val="45"/>
              <w:spacing w:line="360" w:lineRule="auto"/>
              <w:rPr>
                <w:sz w:val="21"/>
                <w:szCs w:val="21"/>
              </w:rPr>
            </w:pPr>
          </w:p>
          <w:p>
            <w:pPr>
              <w:pStyle w:val="45"/>
              <w:spacing w:before="7" w:line="360" w:lineRule="auto"/>
              <w:rPr>
                <w:sz w:val="21"/>
                <w:szCs w:val="21"/>
              </w:rPr>
            </w:pPr>
          </w:p>
          <w:p>
            <w:pPr>
              <w:pStyle w:val="45"/>
              <w:spacing w:line="360" w:lineRule="auto"/>
              <w:ind w:left="106"/>
              <w:rPr>
                <w:sz w:val="21"/>
                <w:szCs w:val="21"/>
              </w:rPr>
            </w:pPr>
            <w:r>
              <w:rPr>
                <w:sz w:val="21"/>
                <w:szCs w:val="21"/>
              </w:rPr>
              <w:t>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tcPr>
          <w:p>
            <w:pPr>
              <w:pStyle w:val="45"/>
              <w:spacing w:line="360" w:lineRule="auto"/>
              <w:ind w:left="19"/>
              <w:jc w:val="center"/>
              <w:rPr>
                <w:sz w:val="21"/>
                <w:szCs w:val="21"/>
                <w:lang w:val="en-US"/>
              </w:rPr>
            </w:pPr>
            <w:r>
              <w:rPr>
                <w:rFonts w:hint="eastAsia"/>
                <w:sz w:val="21"/>
                <w:szCs w:val="21"/>
                <w:lang w:val="en-US"/>
              </w:rPr>
              <w:t>4</w:t>
            </w:r>
          </w:p>
        </w:tc>
        <w:tc>
          <w:tcPr>
            <w:tcW w:w="1654" w:type="dxa"/>
          </w:tcPr>
          <w:p>
            <w:pPr>
              <w:widowControl/>
              <w:jc w:val="center"/>
            </w:pPr>
            <w:r>
              <w:rPr>
                <w:rFonts w:hint="eastAsia" w:ascii="宋体" w:hAnsi="宋体" w:cs="宋体"/>
                <w:color w:val="000000"/>
                <w:kern w:val="0"/>
                <w:lang w:bidi="ar"/>
              </w:rPr>
              <w:t>资质要求</w:t>
            </w:r>
          </w:p>
          <w:p>
            <w:pPr>
              <w:pStyle w:val="45"/>
              <w:spacing w:before="209" w:line="360" w:lineRule="auto"/>
              <w:ind w:left="107" w:right="91"/>
              <w:jc w:val="center"/>
              <w:rPr>
                <w:sz w:val="21"/>
                <w:szCs w:val="21"/>
                <w:lang w:eastAsia="en-US"/>
              </w:rPr>
            </w:pPr>
          </w:p>
        </w:tc>
        <w:tc>
          <w:tcPr>
            <w:tcW w:w="2258" w:type="dxa"/>
            <w:tcBorders>
              <w:right w:val="single" w:color="000000" w:sz="6" w:space="0"/>
            </w:tcBorders>
          </w:tcPr>
          <w:p>
            <w:pPr>
              <w:pStyle w:val="45"/>
              <w:spacing w:before="160" w:line="360" w:lineRule="auto"/>
              <w:ind w:left="172"/>
              <w:rPr>
                <w:sz w:val="21"/>
                <w:szCs w:val="21"/>
              </w:rPr>
            </w:pPr>
            <w:r>
              <w:rPr>
                <w:sz w:val="21"/>
                <w:szCs w:val="21"/>
              </w:rPr>
              <w:t>符合供应商资格中的资质要求</w:t>
            </w:r>
          </w:p>
        </w:tc>
        <w:tc>
          <w:tcPr>
            <w:tcW w:w="3869" w:type="dxa"/>
            <w:tcBorders>
              <w:left w:val="single" w:color="000000" w:sz="6" w:space="0"/>
            </w:tcBorders>
          </w:tcPr>
          <w:p>
            <w:pPr>
              <w:pStyle w:val="45"/>
              <w:spacing w:line="360" w:lineRule="auto"/>
              <w:ind w:left="106"/>
              <w:rPr>
                <w:sz w:val="21"/>
                <w:szCs w:val="21"/>
              </w:rPr>
            </w:pPr>
            <w:r>
              <w:rPr>
                <w:sz w:val="21"/>
                <w:szCs w:val="21"/>
              </w:rPr>
              <w:t>提供符合供应商资格中要求的资质证书扫描件</w:t>
            </w:r>
            <w:r>
              <w:rPr>
                <w:rFonts w:hint="eastAsia"/>
                <w:sz w:val="21"/>
                <w:szCs w:val="21"/>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tcPr>
          <w:p>
            <w:pPr>
              <w:pStyle w:val="45"/>
              <w:spacing w:line="360" w:lineRule="auto"/>
              <w:ind w:left="19"/>
              <w:jc w:val="center"/>
              <w:rPr>
                <w:sz w:val="21"/>
                <w:szCs w:val="21"/>
                <w:lang w:val="en-US"/>
              </w:rPr>
            </w:pPr>
            <w:r>
              <w:rPr>
                <w:rFonts w:hint="eastAsia"/>
                <w:sz w:val="21"/>
                <w:szCs w:val="21"/>
                <w:lang w:val="en-US"/>
              </w:rPr>
              <w:t>5</w:t>
            </w:r>
          </w:p>
        </w:tc>
        <w:tc>
          <w:tcPr>
            <w:tcW w:w="1654" w:type="dxa"/>
          </w:tcPr>
          <w:p>
            <w:pPr>
              <w:widowControl/>
              <w:jc w:val="center"/>
            </w:pPr>
            <w:r>
              <w:rPr>
                <w:rFonts w:hint="eastAsia" w:ascii="宋体" w:hAnsi="宋体" w:cs="宋体"/>
                <w:color w:val="000000"/>
                <w:kern w:val="0"/>
                <w:lang w:bidi="ar"/>
              </w:rPr>
              <w:t>总监理工程师</w:t>
            </w:r>
          </w:p>
          <w:p>
            <w:pPr>
              <w:pStyle w:val="45"/>
              <w:spacing w:before="209" w:line="360" w:lineRule="auto"/>
              <w:ind w:left="107" w:right="91"/>
              <w:jc w:val="center"/>
              <w:rPr>
                <w:sz w:val="21"/>
                <w:szCs w:val="21"/>
                <w:lang w:eastAsia="en-US"/>
              </w:rPr>
            </w:pPr>
          </w:p>
        </w:tc>
        <w:tc>
          <w:tcPr>
            <w:tcW w:w="2258" w:type="dxa"/>
            <w:tcBorders>
              <w:right w:val="single" w:color="000000" w:sz="6" w:space="0"/>
            </w:tcBorders>
          </w:tcPr>
          <w:p>
            <w:pPr>
              <w:pStyle w:val="45"/>
              <w:spacing w:before="160" w:line="360" w:lineRule="auto"/>
              <w:ind w:left="172"/>
              <w:rPr>
                <w:sz w:val="21"/>
                <w:szCs w:val="21"/>
              </w:rPr>
            </w:pPr>
            <w:r>
              <w:rPr>
                <w:rFonts w:hint="eastAsia"/>
                <w:sz w:val="21"/>
                <w:szCs w:val="21"/>
              </w:rPr>
              <w:t>符合供应商资格中的总监理工程师的资格要求</w:t>
            </w:r>
          </w:p>
        </w:tc>
        <w:tc>
          <w:tcPr>
            <w:tcW w:w="3869" w:type="dxa"/>
            <w:tcBorders>
              <w:left w:val="single" w:color="000000" w:sz="6" w:space="0"/>
            </w:tcBorders>
          </w:tcPr>
          <w:p>
            <w:pPr>
              <w:pStyle w:val="45"/>
              <w:spacing w:line="360" w:lineRule="auto"/>
              <w:ind w:left="106"/>
              <w:rPr>
                <w:sz w:val="21"/>
                <w:szCs w:val="21"/>
              </w:rPr>
            </w:pPr>
            <w:r>
              <w:rPr>
                <w:rFonts w:hint="eastAsia"/>
                <w:sz w:val="21"/>
                <w:szCs w:val="21"/>
              </w:rPr>
              <w:t>提供符合供应商资格中要求的总监理工程师资格证书扫描件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tcPr>
          <w:p>
            <w:pPr>
              <w:pStyle w:val="45"/>
              <w:spacing w:line="360" w:lineRule="auto"/>
              <w:ind w:left="19"/>
              <w:jc w:val="center"/>
              <w:rPr>
                <w:sz w:val="21"/>
                <w:szCs w:val="21"/>
                <w:lang w:val="en-US"/>
              </w:rPr>
            </w:pPr>
            <w:r>
              <w:rPr>
                <w:rFonts w:hint="eastAsia"/>
                <w:sz w:val="21"/>
                <w:szCs w:val="21"/>
                <w:lang w:val="en-US"/>
              </w:rPr>
              <w:t>6</w:t>
            </w:r>
          </w:p>
        </w:tc>
        <w:tc>
          <w:tcPr>
            <w:tcW w:w="1654" w:type="dxa"/>
          </w:tcPr>
          <w:p>
            <w:pPr>
              <w:widowControl/>
              <w:jc w:val="center"/>
            </w:pPr>
            <w:r>
              <w:rPr>
                <w:rFonts w:hint="eastAsia" w:ascii="宋体" w:hAnsi="宋体" w:cs="宋体"/>
                <w:color w:val="000000"/>
                <w:kern w:val="0"/>
                <w:lang w:bidi="ar"/>
              </w:rPr>
              <w:t>其他主要人员</w:t>
            </w:r>
          </w:p>
          <w:p>
            <w:pPr>
              <w:pStyle w:val="45"/>
              <w:spacing w:before="209" w:line="360" w:lineRule="auto"/>
              <w:ind w:left="107" w:right="91"/>
              <w:jc w:val="center"/>
              <w:rPr>
                <w:sz w:val="21"/>
                <w:szCs w:val="21"/>
                <w:lang w:eastAsia="en-US"/>
              </w:rPr>
            </w:pPr>
          </w:p>
        </w:tc>
        <w:tc>
          <w:tcPr>
            <w:tcW w:w="2258" w:type="dxa"/>
            <w:tcBorders>
              <w:right w:val="single" w:color="000000" w:sz="6" w:space="0"/>
            </w:tcBorders>
          </w:tcPr>
          <w:p>
            <w:pPr>
              <w:pStyle w:val="45"/>
              <w:spacing w:before="160" w:line="360" w:lineRule="auto"/>
              <w:ind w:left="172"/>
              <w:rPr>
                <w:sz w:val="21"/>
                <w:szCs w:val="21"/>
              </w:rPr>
            </w:pPr>
            <w:r>
              <w:rPr>
                <w:rFonts w:hint="eastAsia"/>
                <w:sz w:val="21"/>
                <w:szCs w:val="21"/>
              </w:rPr>
              <w:t>符合供应商资格中的其他主要人员的要求</w:t>
            </w:r>
            <w:r>
              <w:rPr>
                <w:rFonts w:hint="eastAsia"/>
                <w:sz w:val="21"/>
                <w:szCs w:val="21"/>
                <w:lang w:val="en-US"/>
              </w:rPr>
              <w:t xml:space="preserve"> </w:t>
            </w:r>
          </w:p>
        </w:tc>
        <w:tc>
          <w:tcPr>
            <w:tcW w:w="3869" w:type="dxa"/>
            <w:tcBorders>
              <w:left w:val="single" w:color="000000" w:sz="6" w:space="0"/>
            </w:tcBorders>
          </w:tcPr>
          <w:p>
            <w:pPr>
              <w:pStyle w:val="45"/>
              <w:spacing w:line="360" w:lineRule="auto"/>
              <w:ind w:left="10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tcPr>
          <w:p>
            <w:pPr>
              <w:pStyle w:val="45"/>
              <w:spacing w:before="2" w:line="360" w:lineRule="auto"/>
              <w:rPr>
                <w:sz w:val="21"/>
                <w:szCs w:val="21"/>
              </w:rPr>
            </w:pPr>
          </w:p>
          <w:p>
            <w:pPr>
              <w:pStyle w:val="45"/>
              <w:spacing w:line="360" w:lineRule="auto"/>
              <w:ind w:left="19"/>
              <w:jc w:val="center"/>
              <w:rPr>
                <w:sz w:val="21"/>
                <w:szCs w:val="21"/>
              </w:rPr>
            </w:pPr>
            <w:r>
              <w:rPr>
                <w:rFonts w:hint="eastAsia"/>
                <w:sz w:val="21"/>
                <w:szCs w:val="21"/>
                <w:lang w:val="en-US"/>
              </w:rPr>
              <w:t>7</w:t>
            </w:r>
          </w:p>
        </w:tc>
        <w:tc>
          <w:tcPr>
            <w:tcW w:w="1654" w:type="dxa"/>
          </w:tcPr>
          <w:p>
            <w:pPr>
              <w:pStyle w:val="45"/>
              <w:spacing w:before="209" w:line="360" w:lineRule="auto"/>
              <w:ind w:left="107" w:right="91"/>
              <w:jc w:val="center"/>
              <w:rPr>
                <w:sz w:val="21"/>
                <w:szCs w:val="21"/>
                <w:lang w:eastAsia="en-US"/>
              </w:rPr>
            </w:pPr>
            <w:r>
              <w:rPr>
                <w:sz w:val="21"/>
                <w:szCs w:val="21"/>
                <w:lang w:eastAsia="en-US"/>
              </w:rPr>
              <w:t>磋商响应函</w:t>
            </w:r>
          </w:p>
        </w:tc>
        <w:tc>
          <w:tcPr>
            <w:tcW w:w="2258" w:type="dxa"/>
            <w:tcBorders>
              <w:right w:val="single" w:color="000000" w:sz="6" w:space="0"/>
            </w:tcBorders>
          </w:tcPr>
          <w:p>
            <w:pPr>
              <w:pStyle w:val="45"/>
              <w:spacing w:line="360" w:lineRule="auto"/>
              <w:ind w:left="105"/>
              <w:rPr>
                <w:sz w:val="21"/>
                <w:szCs w:val="21"/>
              </w:rPr>
            </w:pPr>
            <w:r>
              <w:rPr>
                <w:spacing w:val="-14"/>
                <w:sz w:val="21"/>
                <w:szCs w:val="21"/>
              </w:rPr>
              <w:t>格式、填写要求符合</w:t>
            </w:r>
          </w:p>
          <w:p>
            <w:pPr>
              <w:pStyle w:val="45"/>
              <w:spacing w:before="160" w:line="360" w:lineRule="auto"/>
              <w:ind w:left="172"/>
              <w:rPr>
                <w:sz w:val="21"/>
                <w:szCs w:val="21"/>
              </w:rPr>
            </w:pPr>
            <w:r>
              <w:rPr>
                <w:sz w:val="21"/>
                <w:szCs w:val="21"/>
              </w:rPr>
              <w:t>磋商文件规定并加盖供应商</w:t>
            </w:r>
            <w:r>
              <w:rPr>
                <w:rFonts w:hint="eastAsia"/>
                <w:sz w:val="21"/>
                <w:szCs w:val="21"/>
                <w:lang w:val="en-US"/>
              </w:rPr>
              <w:t>公</w:t>
            </w:r>
            <w:r>
              <w:rPr>
                <w:sz w:val="21"/>
                <w:szCs w:val="21"/>
              </w:rPr>
              <w:t>章</w:t>
            </w:r>
          </w:p>
        </w:tc>
        <w:tc>
          <w:tcPr>
            <w:tcW w:w="3869" w:type="dxa"/>
            <w:tcBorders>
              <w:left w:val="single" w:color="000000" w:sz="6" w:space="0"/>
            </w:tcBorders>
          </w:tcPr>
          <w:p>
            <w:pPr>
              <w:pStyle w:val="45"/>
              <w:spacing w:before="2" w:line="360" w:lineRule="auto"/>
              <w:rPr>
                <w:sz w:val="21"/>
                <w:szCs w:val="21"/>
              </w:rPr>
            </w:pPr>
          </w:p>
          <w:p>
            <w:pPr>
              <w:pStyle w:val="45"/>
              <w:spacing w:line="360" w:lineRule="auto"/>
              <w:ind w:left="106"/>
              <w:rPr>
                <w:sz w:val="21"/>
                <w:szCs w:val="21"/>
              </w:rPr>
            </w:pPr>
            <w:r>
              <w:rPr>
                <w:sz w:val="21"/>
                <w:szCs w:val="21"/>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tcPr>
          <w:p>
            <w:pPr>
              <w:pStyle w:val="45"/>
              <w:spacing w:line="360" w:lineRule="auto"/>
              <w:rPr>
                <w:sz w:val="21"/>
                <w:szCs w:val="21"/>
              </w:rPr>
            </w:pPr>
          </w:p>
          <w:p>
            <w:pPr>
              <w:pStyle w:val="45"/>
              <w:spacing w:before="184" w:line="360" w:lineRule="auto"/>
              <w:ind w:left="19"/>
              <w:jc w:val="center"/>
              <w:rPr>
                <w:sz w:val="21"/>
                <w:szCs w:val="21"/>
              </w:rPr>
            </w:pPr>
            <w:r>
              <w:rPr>
                <w:rFonts w:hint="eastAsia"/>
                <w:sz w:val="21"/>
                <w:szCs w:val="21"/>
                <w:lang w:val="en-US"/>
              </w:rPr>
              <w:t>8</w:t>
            </w:r>
          </w:p>
        </w:tc>
        <w:tc>
          <w:tcPr>
            <w:tcW w:w="1654" w:type="dxa"/>
          </w:tcPr>
          <w:p>
            <w:pPr>
              <w:pStyle w:val="45"/>
              <w:spacing w:line="360" w:lineRule="auto"/>
              <w:jc w:val="center"/>
              <w:rPr>
                <w:sz w:val="21"/>
                <w:szCs w:val="21"/>
                <w:lang w:eastAsia="en-US"/>
              </w:rPr>
            </w:pPr>
          </w:p>
          <w:p>
            <w:pPr>
              <w:pStyle w:val="45"/>
              <w:spacing w:before="158" w:line="360" w:lineRule="auto"/>
              <w:ind w:left="107" w:right="91"/>
              <w:jc w:val="center"/>
              <w:rPr>
                <w:sz w:val="21"/>
                <w:szCs w:val="21"/>
                <w:lang w:eastAsia="en-US"/>
              </w:rPr>
            </w:pPr>
            <w:r>
              <w:rPr>
                <w:sz w:val="21"/>
                <w:szCs w:val="21"/>
                <w:lang w:eastAsia="en-US"/>
              </w:rPr>
              <w:t>磋商授权书</w:t>
            </w:r>
          </w:p>
        </w:tc>
        <w:tc>
          <w:tcPr>
            <w:tcW w:w="2258" w:type="dxa"/>
            <w:tcBorders>
              <w:right w:val="single" w:color="000000" w:sz="6" w:space="0"/>
            </w:tcBorders>
          </w:tcPr>
          <w:p>
            <w:pPr>
              <w:pStyle w:val="45"/>
              <w:spacing w:line="360" w:lineRule="auto"/>
              <w:ind w:left="172" w:right="83" w:hanging="68"/>
              <w:jc w:val="both"/>
              <w:rPr>
                <w:sz w:val="21"/>
                <w:szCs w:val="21"/>
              </w:rPr>
            </w:pPr>
            <w:r>
              <w:rPr>
                <w:spacing w:val="-16"/>
                <w:sz w:val="21"/>
                <w:szCs w:val="21"/>
              </w:rPr>
              <w:t>格式、填写要求符合</w:t>
            </w:r>
            <w:r>
              <w:rPr>
                <w:sz w:val="21"/>
                <w:szCs w:val="21"/>
              </w:rPr>
              <w:t>磋商文件规定并加盖供应商</w:t>
            </w:r>
            <w:r>
              <w:rPr>
                <w:rFonts w:hint="eastAsia"/>
                <w:sz w:val="21"/>
                <w:szCs w:val="21"/>
                <w:lang w:val="en-US"/>
              </w:rPr>
              <w:t>公</w:t>
            </w:r>
            <w:r>
              <w:rPr>
                <w:sz w:val="21"/>
                <w:szCs w:val="21"/>
              </w:rPr>
              <w:t>章</w:t>
            </w:r>
          </w:p>
        </w:tc>
        <w:tc>
          <w:tcPr>
            <w:tcW w:w="3869" w:type="dxa"/>
            <w:tcBorders>
              <w:left w:val="single" w:color="000000" w:sz="6" w:space="0"/>
            </w:tcBorders>
          </w:tcPr>
          <w:p>
            <w:pPr>
              <w:pStyle w:val="45"/>
              <w:spacing w:before="23" w:line="360" w:lineRule="auto"/>
              <w:ind w:left="106" w:right="148"/>
              <w:jc w:val="both"/>
              <w:rPr>
                <w:sz w:val="21"/>
                <w:szCs w:val="21"/>
              </w:rPr>
            </w:pPr>
            <w:r>
              <w:rPr>
                <w:sz w:val="21"/>
                <w:szCs w:val="21"/>
              </w:rPr>
              <w:t>法定代表人参加磋商的无需此件， 提供身份证明即可。详见第六章响应文件格式五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715" w:type="dxa"/>
          </w:tcPr>
          <w:p>
            <w:pPr>
              <w:pStyle w:val="45"/>
              <w:spacing w:before="3" w:line="360" w:lineRule="auto"/>
              <w:rPr>
                <w:sz w:val="21"/>
                <w:szCs w:val="21"/>
              </w:rPr>
            </w:pPr>
          </w:p>
          <w:p>
            <w:pPr>
              <w:pStyle w:val="45"/>
              <w:spacing w:line="360" w:lineRule="auto"/>
              <w:ind w:left="19"/>
              <w:jc w:val="center"/>
              <w:rPr>
                <w:sz w:val="21"/>
                <w:szCs w:val="21"/>
              </w:rPr>
            </w:pPr>
            <w:r>
              <w:rPr>
                <w:rFonts w:hint="eastAsia"/>
                <w:sz w:val="21"/>
                <w:szCs w:val="21"/>
                <w:lang w:val="en-US"/>
              </w:rPr>
              <w:t>9</w:t>
            </w:r>
          </w:p>
        </w:tc>
        <w:tc>
          <w:tcPr>
            <w:tcW w:w="1654" w:type="dxa"/>
          </w:tcPr>
          <w:p>
            <w:pPr>
              <w:pStyle w:val="45"/>
              <w:spacing w:line="360" w:lineRule="auto"/>
              <w:jc w:val="center"/>
              <w:rPr>
                <w:sz w:val="21"/>
                <w:szCs w:val="21"/>
                <w:lang w:eastAsia="en-US"/>
              </w:rPr>
            </w:pPr>
          </w:p>
          <w:p>
            <w:pPr>
              <w:pStyle w:val="45"/>
              <w:spacing w:before="158" w:line="360" w:lineRule="auto"/>
              <w:ind w:left="107" w:right="91"/>
              <w:jc w:val="center"/>
              <w:rPr>
                <w:sz w:val="21"/>
                <w:szCs w:val="21"/>
              </w:rPr>
            </w:pPr>
            <w:r>
              <w:rPr>
                <w:sz w:val="21"/>
                <w:szCs w:val="21"/>
                <w:lang w:eastAsia="en-US"/>
              </w:rPr>
              <w:t>磋商报价</w:t>
            </w:r>
          </w:p>
        </w:tc>
        <w:tc>
          <w:tcPr>
            <w:tcW w:w="2258" w:type="dxa"/>
            <w:tcBorders>
              <w:right w:val="single" w:color="000000" w:sz="6" w:space="0"/>
            </w:tcBorders>
          </w:tcPr>
          <w:p>
            <w:pPr>
              <w:pStyle w:val="45"/>
              <w:spacing w:line="360" w:lineRule="auto"/>
              <w:ind w:left="141" w:right="121" w:firstLine="2"/>
              <w:jc w:val="center"/>
              <w:rPr>
                <w:sz w:val="21"/>
                <w:szCs w:val="21"/>
              </w:rPr>
            </w:pPr>
            <w:r>
              <w:rPr>
                <w:rFonts w:hint="eastAsia"/>
                <w:sz w:val="21"/>
                <w:szCs w:val="21"/>
                <w:lang w:val="en-US"/>
              </w:rPr>
              <w:t xml:space="preserve">  </w:t>
            </w:r>
            <w:r>
              <w:rPr>
                <w:sz w:val="21"/>
                <w:szCs w:val="21"/>
              </w:rPr>
              <w:t>符合磋商文件供应</w:t>
            </w:r>
            <w:r>
              <w:rPr>
                <w:spacing w:val="-9"/>
                <w:sz w:val="21"/>
                <w:szCs w:val="21"/>
              </w:rPr>
              <w:t xml:space="preserve">商须知正文第 </w:t>
            </w:r>
            <w:r>
              <w:rPr>
                <w:sz w:val="21"/>
                <w:szCs w:val="21"/>
              </w:rPr>
              <w:t>12</w:t>
            </w:r>
            <w:r>
              <w:rPr>
                <w:spacing w:val="-17"/>
                <w:sz w:val="21"/>
                <w:szCs w:val="21"/>
              </w:rPr>
              <w:t>、</w:t>
            </w:r>
            <w:r>
              <w:rPr>
                <w:sz w:val="21"/>
                <w:szCs w:val="21"/>
              </w:rPr>
              <w:t>22</w:t>
            </w:r>
            <w:r>
              <w:rPr>
                <w:spacing w:val="-15"/>
                <w:sz w:val="21"/>
                <w:szCs w:val="21"/>
              </w:rPr>
              <w:t xml:space="preserve"> 条要求</w:t>
            </w:r>
            <w:r>
              <w:rPr>
                <w:rFonts w:hint="eastAsia"/>
                <w:sz w:val="21"/>
                <w:szCs w:val="21"/>
                <w:lang w:val="en-US"/>
              </w:rPr>
              <w:t xml:space="preserve">     </w:t>
            </w:r>
          </w:p>
        </w:tc>
        <w:tc>
          <w:tcPr>
            <w:tcW w:w="3869" w:type="dxa"/>
            <w:tcBorders>
              <w:left w:val="single" w:color="000000" w:sz="6" w:space="0"/>
            </w:tcBorders>
          </w:tcPr>
          <w:p>
            <w:pPr>
              <w:pStyle w:val="45"/>
              <w:spacing w:line="360" w:lineRule="auto"/>
              <w:rPr>
                <w:sz w:val="21"/>
                <w:szCs w:val="21"/>
              </w:rPr>
            </w:pPr>
          </w:p>
          <w:p>
            <w:pPr>
              <w:pStyle w:val="45"/>
              <w:spacing w:before="184" w:line="360" w:lineRule="auto"/>
              <w:ind w:left="106"/>
              <w:rPr>
                <w:sz w:val="21"/>
                <w:szCs w:val="21"/>
              </w:rPr>
            </w:pPr>
            <w:r>
              <w:rPr>
                <w:rFonts w:hint="eastAsia"/>
                <w:sz w:val="21"/>
                <w:szCs w:val="21"/>
                <w:lang w:val="en-US"/>
              </w:rPr>
              <w:t xml:space="preserve">   </w:t>
            </w:r>
            <w:r>
              <w:rPr>
                <w:sz w:val="21"/>
                <w:szCs w:val="21"/>
              </w:rPr>
              <w:t>详见第六章响应文件格式一、二</w:t>
            </w:r>
            <w:r>
              <w:rPr>
                <w:rFonts w:hint="eastAsia"/>
                <w:sz w:val="21"/>
                <w:szCs w:val="21"/>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tcPr>
          <w:p>
            <w:pPr>
              <w:pStyle w:val="45"/>
              <w:spacing w:before="1" w:line="360" w:lineRule="auto"/>
              <w:rPr>
                <w:sz w:val="21"/>
                <w:szCs w:val="21"/>
              </w:rPr>
            </w:pPr>
          </w:p>
          <w:p>
            <w:pPr>
              <w:pStyle w:val="45"/>
              <w:spacing w:line="360" w:lineRule="auto"/>
              <w:ind w:left="19"/>
              <w:jc w:val="center"/>
              <w:rPr>
                <w:sz w:val="21"/>
                <w:szCs w:val="21"/>
                <w:lang w:val="en-US"/>
              </w:rPr>
            </w:pPr>
            <w:r>
              <w:rPr>
                <w:rFonts w:hint="eastAsia"/>
                <w:sz w:val="21"/>
                <w:szCs w:val="21"/>
                <w:lang w:val="en-US"/>
              </w:rPr>
              <w:t>10</w:t>
            </w:r>
          </w:p>
        </w:tc>
        <w:tc>
          <w:tcPr>
            <w:tcW w:w="1654" w:type="dxa"/>
          </w:tcPr>
          <w:p>
            <w:pPr>
              <w:widowControl/>
              <w:jc w:val="center"/>
            </w:pPr>
            <w:r>
              <w:rPr>
                <w:rFonts w:hint="eastAsia" w:ascii="宋体" w:hAnsi="宋体" w:cs="宋体"/>
                <w:color w:val="000000"/>
                <w:kern w:val="0"/>
                <w:lang w:bidi="ar"/>
              </w:rPr>
              <w:t>监理服务期限</w:t>
            </w:r>
          </w:p>
          <w:p>
            <w:pPr>
              <w:pStyle w:val="45"/>
              <w:spacing w:before="211" w:line="360" w:lineRule="auto"/>
              <w:ind w:left="107" w:right="91"/>
              <w:jc w:val="center"/>
              <w:rPr>
                <w:sz w:val="21"/>
                <w:szCs w:val="21"/>
                <w:lang w:eastAsia="en-US"/>
              </w:rPr>
            </w:pPr>
          </w:p>
        </w:tc>
        <w:tc>
          <w:tcPr>
            <w:tcW w:w="2258" w:type="dxa"/>
            <w:tcBorders>
              <w:right w:val="single" w:color="000000" w:sz="6" w:space="0"/>
            </w:tcBorders>
          </w:tcPr>
          <w:p>
            <w:pPr>
              <w:pStyle w:val="45"/>
              <w:spacing w:before="26" w:line="360" w:lineRule="auto"/>
              <w:ind w:left="532" w:right="150" w:hanging="360"/>
              <w:rPr>
                <w:sz w:val="21"/>
                <w:szCs w:val="21"/>
                <w:lang w:val="en-US"/>
              </w:rPr>
            </w:pPr>
            <w:r>
              <w:rPr>
                <w:rFonts w:hint="eastAsia"/>
                <w:sz w:val="21"/>
                <w:szCs w:val="21"/>
                <w:lang w:val="en-US"/>
              </w:rPr>
              <w:t>符合磋商文件要求</w:t>
            </w:r>
          </w:p>
        </w:tc>
        <w:tc>
          <w:tcPr>
            <w:tcW w:w="3869" w:type="dxa"/>
            <w:tcBorders>
              <w:left w:val="single" w:color="000000" w:sz="6" w:space="0"/>
            </w:tcBorders>
          </w:tcPr>
          <w:p>
            <w:pPr>
              <w:pStyle w:val="45"/>
              <w:spacing w:before="50" w:line="360" w:lineRule="auto"/>
              <w:ind w:left="735" w:right="119" w:hanging="60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715" w:type="dxa"/>
          </w:tcPr>
          <w:p>
            <w:pPr>
              <w:pStyle w:val="45"/>
              <w:spacing w:line="360" w:lineRule="auto"/>
              <w:rPr>
                <w:sz w:val="21"/>
                <w:szCs w:val="21"/>
              </w:rPr>
            </w:pPr>
          </w:p>
          <w:p>
            <w:pPr>
              <w:pStyle w:val="45"/>
              <w:spacing w:before="184" w:line="360" w:lineRule="auto"/>
              <w:ind w:left="19"/>
              <w:jc w:val="center"/>
              <w:rPr>
                <w:sz w:val="21"/>
                <w:szCs w:val="21"/>
                <w:lang w:val="en-US"/>
              </w:rPr>
            </w:pPr>
            <w:r>
              <w:rPr>
                <w:rFonts w:hint="eastAsia"/>
                <w:sz w:val="21"/>
                <w:szCs w:val="21"/>
                <w:lang w:val="en-US"/>
              </w:rPr>
              <w:t>11</w:t>
            </w:r>
          </w:p>
        </w:tc>
        <w:tc>
          <w:tcPr>
            <w:tcW w:w="1654" w:type="dxa"/>
          </w:tcPr>
          <w:p>
            <w:pPr>
              <w:widowControl/>
              <w:jc w:val="center"/>
            </w:pPr>
            <w:r>
              <w:rPr>
                <w:rFonts w:hint="eastAsia" w:ascii="宋体" w:hAnsi="宋体" w:cs="宋体"/>
                <w:color w:val="000000"/>
                <w:kern w:val="0"/>
                <w:lang w:bidi="ar"/>
              </w:rPr>
              <w:t>质量标准</w:t>
            </w:r>
          </w:p>
        </w:tc>
        <w:tc>
          <w:tcPr>
            <w:tcW w:w="2258" w:type="dxa"/>
            <w:tcBorders>
              <w:right w:val="single" w:color="000000" w:sz="6" w:space="0"/>
            </w:tcBorders>
          </w:tcPr>
          <w:p>
            <w:pPr>
              <w:pStyle w:val="45"/>
              <w:spacing w:line="360" w:lineRule="auto"/>
              <w:ind w:left="112" w:right="90"/>
              <w:jc w:val="center"/>
              <w:rPr>
                <w:sz w:val="21"/>
                <w:szCs w:val="21"/>
              </w:rPr>
            </w:pPr>
            <w:r>
              <w:rPr>
                <w:rFonts w:hint="eastAsia"/>
                <w:sz w:val="21"/>
                <w:szCs w:val="21"/>
                <w:lang w:val="en-US"/>
              </w:rPr>
              <w:t>符合磋商文件要求</w:t>
            </w:r>
          </w:p>
        </w:tc>
        <w:tc>
          <w:tcPr>
            <w:tcW w:w="3869" w:type="dxa"/>
            <w:tcBorders>
              <w:left w:val="single" w:color="000000" w:sz="6" w:space="0"/>
            </w:tcBorders>
          </w:tcPr>
          <w:p>
            <w:pPr>
              <w:pStyle w:val="45"/>
              <w:spacing w:before="184" w:line="360" w:lineRule="auto"/>
              <w:ind w:left="10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715" w:type="dxa"/>
          </w:tcPr>
          <w:p>
            <w:pPr>
              <w:pStyle w:val="45"/>
              <w:spacing w:line="360" w:lineRule="auto"/>
              <w:rPr>
                <w:sz w:val="21"/>
                <w:szCs w:val="21"/>
              </w:rPr>
            </w:pPr>
          </w:p>
          <w:p>
            <w:pPr>
              <w:pStyle w:val="45"/>
              <w:spacing w:before="187" w:line="360" w:lineRule="auto"/>
              <w:ind w:left="102" w:right="83"/>
              <w:jc w:val="center"/>
              <w:rPr>
                <w:sz w:val="21"/>
                <w:szCs w:val="21"/>
                <w:lang w:val="en-US"/>
              </w:rPr>
            </w:pPr>
            <w:r>
              <w:rPr>
                <w:rFonts w:hint="eastAsia"/>
                <w:sz w:val="21"/>
                <w:szCs w:val="21"/>
                <w:lang w:val="en-US"/>
              </w:rPr>
              <w:t>12</w:t>
            </w:r>
          </w:p>
        </w:tc>
        <w:tc>
          <w:tcPr>
            <w:tcW w:w="1654" w:type="dxa"/>
          </w:tcPr>
          <w:p>
            <w:pPr>
              <w:pStyle w:val="45"/>
              <w:spacing w:before="209" w:line="360" w:lineRule="auto"/>
              <w:ind w:firstLine="420" w:firstLineChars="200"/>
              <w:jc w:val="both"/>
              <w:rPr>
                <w:sz w:val="21"/>
                <w:szCs w:val="21"/>
              </w:rPr>
            </w:pPr>
            <w:r>
              <w:rPr>
                <w:sz w:val="21"/>
                <w:szCs w:val="21"/>
                <w:lang w:eastAsia="en-US"/>
              </w:rPr>
              <w:t>其他要求</w:t>
            </w:r>
          </w:p>
        </w:tc>
        <w:tc>
          <w:tcPr>
            <w:tcW w:w="2258" w:type="dxa"/>
            <w:tcBorders>
              <w:right w:val="single" w:color="000000" w:sz="6" w:space="0"/>
            </w:tcBorders>
          </w:tcPr>
          <w:p>
            <w:pPr>
              <w:pStyle w:val="45"/>
              <w:spacing w:before="2" w:line="360" w:lineRule="auto"/>
              <w:ind w:left="172" w:right="83" w:hanging="68"/>
              <w:jc w:val="both"/>
              <w:rPr>
                <w:sz w:val="21"/>
                <w:szCs w:val="21"/>
                <w:lang w:val="en-US"/>
              </w:rPr>
            </w:pPr>
            <w:r>
              <w:rPr>
                <w:rFonts w:hint="eastAsia"/>
                <w:spacing w:val="-16"/>
                <w:sz w:val="21"/>
                <w:szCs w:val="21"/>
                <w:lang w:val="en-US"/>
              </w:rPr>
              <w:t xml:space="preserve">   </w:t>
            </w:r>
            <w:r>
              <w:rPr>
                <w:spacing w:val="-16"/>
                <w:sz w:val="21"/>
                <w:szCs w:val="21"/>
              </w:rPr>
              <w:t>符合法律、行政法规</w:t>
            </w:r>
            <w:r>
              <w:rPr>
                <w:sz w:val="21"/>
                <w:szCs w:val="21"/>
              </w:rPr>
              <w:t>规定的其他条件或磋商文件列明的其他要求</w:t>
            </w:r>
          </w:p>
        </w:tc>
        <w:tc>
          <w:tcPr>
            <w:tcW w:w="3869" w:type="dxa"/>
            <w:tcBorders>
              <w:left w:val="single" w:color="000000" w:sz="6" w:space="0"/>
            </w:tcBorders>
          </w:tcPr>
          <w:p>
            <w:pPr>
              <w:pStyle w:val="45"/>
              <w:spacing w:line="360" w:lineRule="auto"/>
              <w:rPr>
                <w:sz w:val="21"/>
                <w:szCs w:val="21"/>
              </w:rPr>
            </w:pPr>
          </w:p>
          <w:p>
            <w:pPr>
              <w:pStyle w:val="45"/>
              <w:spacing w:before="187" w:line="360" w:lineRule="auto"/>
              <w:ind w:left="106"/>
              <w:rPr>
                <w:sz w:val="21"/>
                <w:szCs w:val="21"/>
              </w:rPr>
            </w:pPr>
            <w:r>
              <w:rPr>
                <w:rFonts w:hint="eastAsia"/>
                <w:sz w:val="21"/>
                <w:szCs w:val="21"/>
                <w:lang w:val="en-US"/>
              </w:rPr>
              <w:t xml:space="preserve">   </w:t>
            </w:r>
          </w:p>
        </w:tc>
      </w:tr>
    </w:tbl>
    <w:p>
      <w:pPr>
        <w:widowControl/>
        <w:jc w:val="left"/>
        <w:rPr>
          <w:rFonts w:ascii="宋体" w:hAnsi="宋体"/>
        </w:rPr>
      </w:pPr>
    </w:p>
    <w:p>
      <w:pPr>
        <w:widowControl/>
        <w:jc w:val="left"/>
        <w:rPr>
          <w:rFonts w:ascii="Cambria" w:hAnsi="Cambria"/>
          <w:b/>
          <w:bCs/>
          <w:sz w:val="28"/>
          <w:szCs w:val="28"/>
        </w:rPr>
      </w:pPr>
      <w:r>
        <w:br w:type="page"/>
      </w:r>
    </w:p>
    <w:p>
      <w:pPr>
        <w:pStyle w:val="6"/>
        <w:numPr>
          <w:ilvl w:val="1"/>
          <w:numId w:val="20"/>
        </w:numPr>
      </w:pPr>
      <w:r>
        <w:rPr>
          <w:rFonts w:hint="eastAsia"/>
        </w:rPr>
        <w:t xml:space="preserve"> </w:t>
      </w:r>
      <w:r>
        <w:t>综合评分</w:t>
      </w:r>
    </w:p>
    <w:p>
      <w:pPr>
        <w:pStyle w:val="33"/>
        <w:tabs>
          <w:tab w:val="left" w:pos="1313"/>
        </w:tabs>
        <w:spacing w:before="56" w:line="360" w:lineRule="auto"/>
        <w:ind w:left="-410" w:firstLine="1050" w:firstLineChars="500"/>
        <w:rPr>
          <w:sz w:val="21"/>
          <w:szCs w:val="21"/>
        </w:rPr>
      </w:pPr>
      <w:r>
        <w:rPr>
          <w:rFonts w:hint="eastAsia"/>
          <w:sz w:val="21"/>
          <w:szCs w:val="21"/>
          <w:lang w:val="en-US"/>
        </w:rPr>
        <w:t>2.2.1</w:t>
      </w:r>
      <w:r>
        <w:rPr>
          <w:sz w:val="21"/>
          <w:szCs w:val="21"/>
        </w:rPr>
        <w:t>竞争性磋商小组按照下表对进入综合评分的所有供应商的响应文件进行综合评分。</w:t>
      </w:r>
    </w:p>
    <w:p>
      <w:pPr>
        <w:pStyle w:val="33"/>
        <w:numPr>
          <w:ilvl w:val="2"/>
          <w:numId w:val="20"/>
        </w:numPr>
        <w:tabs>
          <w:tab w:val="left" w:pos="834"/>
          <w:tab w:val="left" w:pos="1330"/>
          <w:tab w:val="left" w:pos="4435"/>
        </w:tabs>
        <w:spacing w:before="160" w:after="6" w:line="360" w:lineRule="auto"/>
        <w:ind w:left="234" w:right="371" w:firstLine="434"/>
        <w:rPr>
          <w:sz w:val="21"/>
          <w:szCs w:val="21"/>
        </w:rPr>
      </w:pPr>
      <w:r>
        <w:rPr>
          <w:sz w:val="21"/>
          <w:szCs w:val="21"/>
        </w:rPr>
        <w:t>本项目综合评分满分为</w:t>
      </w:r>
      <w:r>
        <w:rPr>
          <w:spacing w:val="-60"/>
          <w:sz w:val="21"/>
          <w:szCs w:val="21"/>
        </w:rPr>
        <w:t xml:space="preserve"> </w:t>
      </w:r>
      <w:r>
        <w:rPr>
          <w:sz w:val="21"/>
          <w:szCs w:val="21"/>
        </w:rPr>
        <w:t>100</w:t>
      </w:r>
      <w:r>
        <w:rPr>
          <w:spacing w:val="-60"/>
          <w:sz w:val="21"/>
          <w:szCs w:val="21"/>
        </w:rPr>
        <w:t xml:space="preserve"> </w:t>
      </w:r>
      <w:r>
        <w:rPr>
          <w:sz w:val="21"/>
          <w:szCs w:val="21"/>
        </w:rPr>
        <w:t>分</w:t>
      </w:r>
      <w:r>
        <w:rPr>
          <w:spacing w:val="-8"/>
          <w:sz w:val="21"/>
          <w:szCs w:val="21"/>
        </w:rPr>
        <w:t>，</w:t>
      </w:r>
      <w:r>
        <w:rPr>
          <w:sz w:val="21"/>
          <w:szCs w:val="21"/>
        </w:rPr>
        <w:t>其中</w:t>
      </w:r>
      <w:r>
        <w:rPr>
          <w:spacing w:val="-10"/>
          <w:sz w:val="21"/>
          <w:szCs w:val="21"/>
        </w:rPr>
        <w:t>：</w:t>
      </w:r>
      <w:r>
        <w:rPr>
          <w:sz w:val="21"/>
          <w:szCs w:val="21"/>
        </w:rPr>
        <w:t>技术资信分值占总分值的权</w:t>
      </w:r>
      <w:r>
        <w:rPr>
          <w:spacing w:val="-15"/>
          <w:sz w:val="21"/>
          <w:szCs w:val="21"/>
        </w:rPr>
        <w:t>重</w:t>
      </w:r>
      <w:r>
        <w:rPr>
          <w:sz w:val="21"/>
          <w:szCs w:val="21"/>
        </w:rPr>
        <w:t>为</w:t>
      </w:r>
      <w:r>
        <w:rPr>
          <w:rFonts w:hint="eastAsia"/>
          <w:sz w:val="21"/>
          <w:szCs w:val="21"/>
          <w:u w:val="single"/>
          <w:lang w:val="en-US"/>
        </w:rPr>
        <w:t>9</w:t>
      </w:r>
      <w:r>
        <w:rPr>
          <w:sz w:val="21"/>
          <w:szCs w:val="21"/>
          <w:u w:val="single"/>
        </w:rPr>
        <w:t xml:space="preserve">0 </w:t>
      </w:r>
      <w:r>
        <w:rPr>
          <w:sz w:val="21"/>
          <w:szCs w:val="21"/>
        </w:rPr>
        <w:t>%，价格分值占总分值的权重为</w:t>
      </w:r>
      <w:r>
        <w:rPr>
          <w:sz w:val="21"/>
          <w:szCs w:val="21"/>
          <w:u w:val="single"/>
        </w:rPr>
        <w:t xml:space="preserve">  </w:t>
      </w:r>
      <w:r>
        <w:rPr>
          <w:rFonts w:hint="eastAsia"/>
          <w:sz w:val="21"/>
          <w:szCs w:val="21"/>
          <w:u w:val="single"/>
          <w:lang w:val="en-US"/>
        </w:rPr>
        <w:t>10</w:t>
      </w:r>
      <w:r>
        <w:rPr>
          <w:sz w:val="21"/>
          <w:szCs w:val="21"/>
          <w:u w:val="single"/>
        </w:rPr>
        <w:t xml:space="preserve">  </w:t>
      </w:r>
      <w:r>
        <w:rPr>
          <w:sz w:val="21"/>
          <w:szCs w:val="21"/>
        </w:rPr>
        <w:t>%</w:t>
      </w:r>
      <w:r>
        <w:rPr>
          <w:rFonts w:hint="eastAsia"/>
          <w:sz w:val="21"/>
          <w:szCs w:val="21"/>
        </w:rPr>
        <w:t>（价格分值占总分值的比重(即权值)为10%至30%。）《</w:t>
      </w:r>
      <w:r>
        <w:rPr>
          <w:rFonts w:hint="eastAsia"/>
          <w:b/>
          <w:sz w:val="21"/>
          <w:szCs w:val="21"/>
        </w:rPr>
        <w:t>竞争性磋商</w:t>
      </w:r>
      <w:r>
        <w:rPr>
          <w:rFonts w:hint="eastAsia"/>
          <w:sz w:val="21"/>
          <w:szCs w:val="21"/>
        </w:rPr>
        <w:t>管理办法规定》</w:t>
      </w:r>
      <w:r>
        <w:rPr>
          <w:sz w:val="21"/>
          <w:szCs w:val="21"/>
        </w:rPr>
        <w:t>。具体评分细则如下：</w:t>
      </w:r>
    </w:p>
    <w:p>
      <w:pPr>
        <w:pStyle w:val="34"/>
        <w:ind w:firstLine="0" w:firstLineChars="0"/>
      </w:pPr>
    </w:p>
    <w:p>
      <w:pPr>
        <w:pStyle w:val="34"/>
        <w:ind w:firstLine="0" w:firstLineChars="0"/>
      </w:pPr>
    </w:p>
    <w:p>
      <w:pPr>
        <w:pStyle w:val="34"/>
        <w:ind w:firstLine="0" w:firstLineChars="0"/>
      </w:pPr>
    </w:p>
    <w:p>
      <w:pPr>
        <w:pStyle w:val="34"/>
      </w:pPr>
    </w:p>
    <w:tbl>
      <w:tblPr>
        <w:tblStyle w:val="20"/>
        <w:tblW w:w="10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110"/>
        <w:gridCol w:w="1725"/>
        <w:gridCol w:w="4380"/>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584" w:type="dxa"/>
            <w:gridSpan w:val="2"/>
            <w:shd w:val="clear" w:color="auto" w:fill="auto"/>
          </w:tcPr>
          <w:p>
            <w:pPr>
              <w:autoSpaceDE w:val="0"/>
              <w:autoSpaceDN w:val="0"/>
              <w:spacing w:line="360" w:lineRule="auto"/>
              <w:ind w:left="494" w:firstLine="442" w:firstLineChars="200"/>
              <w:jc w:val="left"/>
              <w:rPr>
                <w:rFonts w:ascii="宋体" w:hAnsi="宋体" w:cs="宋体"/>
                <w:b/>
                <w:kern w:val="0"/>
                <w:sz w:val="22"/>
                <w:lang w:val="zh-CN" w:eastAsia="en-US" w:bidi="zh-CN"/>
              </w:rPr>
            </w:pPr>
            <w:r>
              <w:rPr>
                <w:rFonts w:hint="eastAsia" w:ascii="宋体" w:hAnsi="宋体" w:cs="宋体"/>
                <w:b/>
                <w:kern w:val="0"/>
                <w:sz w:val="22"/>
                <w:lang w:eastAsia="en-US" w:bidi="zh-CN"/>
              </w:rPr>
              <w:t>条款号</w:t>
            </w:r>
          </w:p>
        </w:tc>
        <w:tc>
          <w:tcPr>
            <w:tcW w:w="1725" w:type="dxa"/>
            <w:shd w:val="clear" w:color="auto" w:fill="auto"/>
          </w:tcPr>
          <w:p>
            <w:pPr>
              <w:autoSpaceDE w:val="0"/>
              <w:autoSpaceDN w:val="0"/>
              <w:spacing w:line="360" w:lineRule="auto"/>
              <w:ind w:left="353" w:right="347"/>
              <w:jc w:val="center"/>
              <w:rPr>
                <w:rFonts w:ascii="宋体" w:hAnsi="宋体" w:cs="宋体"/>
                <w:b/>
                <w:kern w:val="0"/>
                <w:sz w:val="22"/>
                <w:lang w:val="zh-CN" w:eastAsia="en-US" w:bidi="zh-CN"/>
              </w:rPr>
            </w:pPr>
            <w:r>
              <w:rPr>
                <w:rFonts w:ascii="宋体" w:hAnsi="宋体" w:cs="宋体"/>
                <w:b/>
                <w:kern w:val="0"/>
                <w:sz w:val="22"/>
                <w:lang w:val="zh-CN" w:eastAsia="en-US" w:bidi="zh-CN"/>
              </w:rPr>
              <w:t>评分内容</w:t>
            </w:r>
          </w:p>
        </w:tc>
        <w:tc>
          <w:tcPr>
            <w:tcW w:w="4380" w:type="dxa"/>
            <w:shd w:val="clear" w:color="auto" w:fill="auto"/>
          </w:tcPr>
          <w:p>
            <w:pPr>
              <w:autoSpaceDE w:val="0"/>
              <w:autoSpaceDN w:val="0"/>
              <w:spacing w:line="360" w:lineRule="auto"/>
              <w:ind w:left="1363" w:right="1359"/>
              <w:jc w:val="center"/>
              <w:rPr>
                <w:rFonts w:ascii="宋体" w:hAnsi="宋体" w:cs="宋体"/>
                <w:b/>
                <w:kern w:val="0"/>
                <w:sz w:val="22"/>
                <w:lang w:val="zh-CN" w:eastAsia="en-US" w:bidi="zh-CN"/>
              </w:rPr>
            </w:pPr>
            <w:r>
              <w:rPr>
                <w:rFonts w:ascii="宋体" w:hAnsi="宋体" w:cs="宋体"/>
                <w:b/>
                <w:kern w:val="0"/>
                <w:sz w:val="22"/>
                <w:lang w:val="zh-CN" w:eastAsia="en-US" w:bidi="zh-CN"/>
              </w:rPr>
              <w:t>评分标准</w:t>
            </w:r>
          </w:p>
        </w:tc>
        <w:tc>
          <w:tcPr>
            <w:tcW w:w="1481" w:type="dxa"/>
            <w:shd w:val="clear" w:color="auto" w:fill="auto"/>
          </w:tcPr>
          <w:p>
            <w:pPr>
              <w:autoSpaceDE w:val="0"/>
              <w:autoSpaceDN w:val="0"/>
              <w:spacing w:line="360" w:lineRule="auto"/>
              <w:ind w:left="280" w:right="281"/>
              <w:jc w:val="center"/>
              <w:rPr>
                <w:rFonts w:ascii="宋体" w:hAnsi="宋体" w:cs="宋体"/>
                <w:b/>
                <w:kern w:val="0"/>
                <w:sz w:val="22"/>
                <w:lang w:val="zh-CN" w:eastAsia="en-US" w:bidi="zh-CN"/>
              </w:rPr>
            </w:pPr>
            <w:r>
              <w:rPr>
                <w:rFonts w:ascii="宋体" w:hAnsi="宋体" w:cs="宋体"/>
                <w:b/>
                <w:kern w:val="0"/>
                <w:sz w:val="22"/>
                <w:lang w:val="zh-CN" w:eastAsia="en-US" w:bidi="zh-CN"/>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74" w:type="dxa"/>
            <w:vMerge w:val="restart"/>
            <w:shd w:val="clear" w:color="auto" w:fill="auto"/>
            <w:vAlign w:val="center"/>
          </w:tcPr>
          <w:p>
            <w:pPr>
              <w:autoSpaceDE w:val="0"/>
              <w:autoSpaceDN w:val="0"/>
              <w:spacing w:line="360" w:lineRule="auto"/>
              <w:rPr>
                <w:rFonts w:ascii="宋体" w:hAnsi="宋体" w:cs="宋体"/>
                <w:kern w:val="0"/>
                <w:sz w:val="22"/>
                <w:lang w:val="zh-CN" w:eastAsia="en-US" w:bidi="zh-CN"/>
              </w:rPr>
            </w:pPr>
          </w:p>
          <w:p>
            <w:pPr>
              <w:autoSpaceDE w:val="0"/>
              <w:autoSpaceDN w:val="0"/>
              <w:spacing w:line="360" w:lineRule="auto"/>
              <w:rPr>
                <w:rFonts w:ascii="宋体" w:hAnsi="宋体" w:cs="宋体"/>
                <w:kern w:val="0"/>
                <w:sz w:val="22"/>
                <w:lang w:val="zh-CN" w:eastAsia="en-US" w:bidi="zh-CN"/>
              </w:rPr>
            </w:pPr>
          </w:p>
          <w:p>
            <w:pPr>
              <w:autoSpaceDE w:val="0"/>
              <w:autoSpaceDN w:val="0"/>
              <w:spacing w:before="11" w:line="360" w:lineRule="auto"/>
              <w:rPr>
                <w:rFonts w:ascii="宋体" w:hAnsi="宋体" w:cs="宋体"/>
                <w:kern w:val="0"/>
                <w:sz w:val="22"/>
                <w:lang w:val="zh-CN" w:eastAsia="en-US" w:bidi="zh-CN"/>
              </w:rPr>
            </w:pPr>
          </w:p>
          <w:p>
            <w:pPr>
              <w:autoSpaceDE w:val="0"/>
              <w:autoSpaceDN w:val="0"/>
              <w:spacing w:line="360" w:lineRule="auto"/>
              <w:ind w:left="136"/>
              <w:rPr>
                <w:rFonts w:ascii="宋体" w:hAnsi="宋体" w:cs="宋体"/>
                <w:kern w:val="0"/>
                <w:sz w:val="22"/>
                <w:lang w:val="zh-CN" w:eastAsia="en-US" w:bidi="zh-CN"/>
              </w:rPr>
            </w:pPr>
            <w:r>
              <w:rPr>
                <w:rFonts w:ascii="宋体" w:hAnsi="宋体" w:cs="宋体"/>
                <w:kern w:val="0"/>
                <w:sz w:val="22"/>
                <w:lang w:val="zh-CN" w:eastAsia="en-US" w:bidi="zh-CN"/>
              </w:rPr>
              <w:t>技术资信分</w:t>
            </w:r>
          </w:p>
          <w:p>
            <w:pPr>
              <w:tabs>
                <w:tab w:val="left" w:pos="796"/>
              </w:tabs>
              <w:autoSpaceDE w:val="0"/>
              <w:autoSpaceDN w:val="0"/>
              <w:spacing w:before="161" w:line="360" w:lineRule="auto"/>
              <w:ind w:left="196"/>
              <w:rPr>
                <w:rFonts w:ascii="宋体" w:hAnsi="宋体" w:cs="宋体"/>
                <w:kern w:val="0"/>
                <w:sz w:val="22"/>
                <w:lang w:val="zh-CN" w:eastAsia="en-US" w:bidi="zh-CN"/>
              </w:rPr>
            </w:pPr>
            <w:r>
              <w:rPr>
                <w:rFonts w:ascii="宋体" w:hAnsi="宋体" w:cs="宋体"/>
                <w:kern w:val="0"/>
                <w:sz w:val="22"/>
                <w:lang w:val="zh-CN" w:eastAsia="en-US" w:bidi="zh-CN"/>
              </w:rPr>
              <w:t>（</w:t>
            </w:r>
            <w:r>
              <w:rPr>
                <w:rFonts w:ascii="宋体" w:hAnsi="宋体" w:cs="宋体"/>
                <w:kern w:val="0"/>
                <w:sz w:val="22"/>
                <w:u w:val="single"/>
                <w:lang w:val="zh-CN" w:bidi="zh-CN"/>
              </w:rPr>
              <w:t xml:space="preserve"> </w:t>
            </w:r>
            <w:r>
              <w:rPr>
                <w:rFonts w:hint="eastAsia" w:ascii="宋体" w:hAnsi="宋体" w:cs="宋体"/>
                <w:kern w:val="0"/>
                <w:sz w:val="22"/>
                <w:u w:val="single"/>
                <w:lang w:bidi="zh-CN"/>
              </w:rPr>
              <w:t xml:space="preserve">90 </w:t>
            </w:r>
            <w:r>
              <w:rPr>
                <w:rFonts w:ascii="宋体" w:hAnsi="宋体" w:cs="宋体"/>
                <w:kern w:val="0"/>
                <w:sz w:val="22"/>
                <w:lang w:val="zh-CN" w:eastAsia="en-US" w:bidi="zh-CN"/>
              </w:rPr>
              <w:t>分）</w:t>
            </w:r>
          </w:p>
        </w:tc>
        <w:tc>
          <w:tcPr>
            <w:tcW w:w="1110" w:type="dxa"/>
            <w:vMerge w:val="restart"/>
            <w:shd w:val="clear" w:color="auto" w:fill="auto"/>
            <w:vAlign w:val="center"/>
          </w:tcPr>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pPr>
            <w:r>
              <w:rPr>
                <w:rFonts w:hint="eastAsia" w:ascii="宋体" w:hAnsi="宋体" w:cs="宋体"/>
                <w:color w:val="000000"/>
                <w:kern w:val="0"/>
                <w:lang w:bidi="ar"/>
              </w:rPr>
              <w:t>资信业绩</w:t>
            </w:r>
          </w:p>
          <w:p>
            <w:pPr>
              <w:widowControl/>
            </w:pPr>
            <w:r>
              <w:rPr>
                <w:rFonts w:hint="eastAsia" w:ascii="宋体" w:hAnsi="宋体" w:cs="宋体"/>
                <w:color w:val="000000"/>
                <w:kern w:val="0"/>
                <w:lang w:bidi="ar"/>
              </w:rPr>
              <w:t>评分标准</w:t>
            </w:r>
          </w:p>
          <w:p>
            <w:pPr>
              <w:tabs>
                <w:tab w:val="left" w:pos="796"/>
              </w:tabs>
              <w:autoSpaceDE w:val="0"/>
              <w:autoSpaceDN w:val="0"/>
              <w:spacing w:before="161" w:line="360" w:lineRule="auto"/>
              <w:ind w:left="196"/>
              <w:rPr>
                <w:rFonts w:ascii="宋体" w:hAnsi="宋体" w:cs="宋体"/>
                <w:kern w:val="0"/>
                <w:sz w:val="22"/>
                <w:lang w:eastAsia="en-US" w:bidi="zh-CN"/>
              </w:rPr>
            </w:pPr>
            <w:r>
              <w:rPr>
                <w:rFonts w:hint="eastAsia" w:ascii="宋体" w:hAnsi="宋体" w:cs="宋体"/>
                <w:kern w:val="0"/>
                <w:sz w:val="22"/>
                <w:lang w:eastAsia="en-US" w:bidi="zh-CN"/>
              </w:rPr>
              <w:t>40分</w:t>
            </w:r>
          </w:p>
        </w:tc>
        <w:tc>
          <w:tcPr>
            <w:tcW w:w="1725" w:type="dxa"/>
            <w:shd w:val="clear" w:color="auto" w:fill="auto"/>
            <w:vAlign w:val="center"/>
          </w:tcPr>
          <w:p>
            <w:pPr>
              <w:autoSpaceDE w:val="0"/>
              <w:autoSpaceDN w:val="0"/>
              <w:spacing w:before="2" w:line="360" w:lineRule="auto"/>
              <w:ind w:right="346"/>
              <w:rPr>
                <w:rFonts w:ascii="宋体" w:hAnsi="宋体" w:cs="宋体"/>
                <w:kern w:val="0"/>
                <w:sz w:val="22"/>
                <w:lang w:eastAsia="en-US" w:bidi="zh-CN"/>
              </w:rPr>
            </w:pPr>
          </w:p>
          <w:p>
            <w:pPr>
              <w:widowControl/>
              <w:spacing w:line="480" w:lineRule="auto"/>
              <w:rPr>
                <w:rFonts w:ascii="Calibri" w:hAnsi="Calibri"/>
                <w:spacing w:val="7"/>
              </w:rPr>
            </w:pPr>
            <w:r>
              <w:rPr>
                <w:rFonts w:hint="eastAsia" w:ascii="Calibri" w:hAnsi="Calibri"/>
                <w:spacing w:val="7"/>
              </w:rPr>
              <w:t>供应商</w:t>
            </w:r>
            <w:r>
              <w:rPr>
                <w:rFonts w:ascii="Calibri" w:hAnsi="Calibri"/>
                <w:spacing w:val="7"/>
              </w:rPr>
              <w:t>业绩</w:t>
            </w:r>
          </w:p>
          <w:p>
            <w:pPr>
              <w:widowControl/>
              <w:spacing w:line="480" w:lineRule="auto"/>
            </w:pPr>
            <w:r>
              <w:rPr>
                <w:rFonts w:ascii="Calibri" w:hAnsi="Calibri"/>
                <w:spacing w:val="7"/>
              </w:rPr>
              <w:t>（</w:t>
            </w:r>
            <w:r>
              <w:rPr>
                <w:rFonts w:hint="eastAsia" w:ascii="Calibri" w:hAnsi="Calibri"/>
                <w:spacing w:val="7"/>
              </w:rPr>
              <w:t>15</w:t>
            </w:r>
            <w:r>
              <w:rPr>
                <w:rFonts w:ascii="Calibri" w:hAnsi="Calibri"/>
                <w:spacing w:val="7"/>
              </w:rPr>
              <w:t>分）</w:t>
            </w:r>
          </w:p>
          <w:p>
            <w:pPr>
              <w:autoSpaceDE w:val="0"/>
              <w:autoSpaceDN w:val="0"/>
              <w:spacing w:before="2" w:line="360" w:lineRule="auto"/>
              <w:ind w:right="346"/>
              <w:rPr>
                <w:rFonts w:ascii="宋体" w:hAnsi="宋体" w:cs="宋体"/>
                <w:kern w:val="0"/>
                <w:sz w:val="22"/>
                <w:lang w:bidi="zh-CN"/>
              </w:rPr>
            </w:pPr>
          </w:p>
        </w:tc>
        <w:tc>
          <w:tcPr>
            <w:tcW w:w="4380" w:type="dxa"/>
            <w:shd w:val="clear" w:color="auto" w:fill="auto"/>
            <w:vAlign w:val="center"/>
          </w:tcPr>
          <w:p>
            <w:pPr>
              <w:adjustRightInd w:val="0"/>
              <w:snapToGrid w:val="0"/>
              <w:spacing w:line="480" w:lineRule="auto"/>
            </w:pPr>
            <w:r>
              <w:rPr>
                <w:rFonts w:hint="eastAsia"/>
              </w:rPr>
              <w:t>供应商自2019年1月1日以来（以合同签订时间为准），每具有1个项目总投资不低于500万元的类似项目监理业绩的得5分，满分15分，</w:t>
            </w:r>
          </w:p>
          <w:p>
            <w:pPr>
              <w:widowControl/>
              <w:spacing w:line="480" w:lineRule="auto"/>
              <w:rPr>
                <w:rFonts w:ascii="宋体" w:hAnsi="宋体" w:cs="宋体"/>
                <w:kern w:val="0"/>
                <w:sz w:val="22"/>
                <w:lang w:bidi="zh-CN"/>
              </w:rPr>
            </w:pPr>
            <w:r>
              <w:rPr>
                <w:rFonts w:hint="eastAsia"/>
              </w:rPr>
              <w:t>注：提供合同扫描件，业绩时间以合同签订时间为准。合同未能反映业绩评审指标的，须补充提供建设单位书面证明材料。</w:t>
            </w:r>
          </w:p>
        </w:tc>
        <w:tc>
          <w:tcPr>
            <w:tcW w:w="1481" w:type="dxa"/>
            <w:shd w:val="clear" w:color="auto" w:fill="auto"/>
            <w:vAlign w:val="center"/>
          </w:tcPr>
          <w:p>
            <w:pPr>
              <w:autoSpaceDE w:val="0"/>
              <w:autoSpaceDN w:val="0"/>
              <w:spacing w:before="2" w:line="360" w:lineRule="auto"/>
              <w:ind w:left="280" w:right="279"/>
              <w:rPr>
                <w:rFonts w:ascii="宋体" w:hAnsi="宋体" w:cs="宋体"/>
                <w:b/>
                <w:kern w:val="0"/>
                <w:sz w:val="22"/>
                <w:lang w:bidi="zh-CN"/>
              </w:rPr>
            </w:pPr>
          </w:p>
          <w:p>
            <w:pPr>
              <w:autoSpaceDE w:val="0"/>
              <w:autoSpaceDN w:val="0"/>
              <w:spacing w:before="2" w:line="360" w:lineRule="auto"/>
              <w:ind w:left="280" w:right="279"/>
              <w:rPr>
                <w:rFonts w:ascii="宋体" w:hAnsi="宋体" w:cs="宋体"/>
                <w:b/>
                <w:kern w:val="0"/>
                <w:sz w:val="22"/>
                <w:lang w:eastAsia="en-US" w:bidi="zh-CN"/>
              </w:rPr>
            </w:pPr>
            <w:r>
              <w:rPr>
                <w:rFonts w:hint="eastAsia" w:ascii="宋体" w:hAnsi="宋体" w:cs="宋体"/>
                <w:b/>
                <w:kern w:val="0"/>
                <w:sz w:val="22"/>
                <w:lang w:eastAsia="en-US" w:bidi="zh-CN"/>
              </w:rPr>
              <w:t>0-</w:t>
            </w:r>
            <w:r>
              <w:rPr>
                <w:rFonts w:hint="eastAsia" w:ascii="宋体" w:hAnsi="宋体" w:cs="宋体"/>
                <w:b/>
                <w:kern w:val="0"/>
                <w:sz w:val="22"/>
                <w:lang w:bidi="zh-CN"/>
              </w:rPr>
              <w:t>15</w:t>
            </w:r>
            <w:r>
              <w:rPr>
                <w:rFonts w:hint="eastAsia" w:ascii="宋体" w:hAnsi="宋体" w:cs="宋体"/>
                <w:b/>
                <w:kern w:val="0"/>
                <w:sz w:val="22"/>
                <w:lang w:eastAsia="en-US"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jc w:val="center"/>
        </w:trPr>
        <w:tc>
          <w:tcPr>
            <w:tcW w:w="1474" w:type="dxa"/>
            <w:vMerge w:val="continue"/>
            <w:shd w:val="clear" w:color="auto" w:fill="auto"/>
            <w:vAlign w:val="center"/>
          </w:tcPr>
          <w:p>
            <w:pPr>
              <w:tabs>
                <w:tab w:val="left" w:pos="796"/>
              </w:tabs>
              <w:autoSpaceDE w:val="0"/>
              <w:autoSpaceDN w:val="0"/>
              <w:spacing w:before="161" w:line="360" w:lineRule="auto"/>
              <w:ind w:left="196"/>
              <w:rPr>
                <w:rFonts w:ascii="宋体" w:hAnsi="宋体" w:cs="宋体"/>
                <w:kern w:val="0"/>
                <w:sz w:val="22"/>
                <w:lang w:val="zh-CN" w:eastAsia="en-US" w:bidi="zh-CN"/>
              </w:rPr>
            </w:pPr>
          </w:p>
        </w:tc>
        <w:tc>
          <w:tcPr>
            <w:tcW w:w="1110" w:type="dxa"/>
            <w:vMerge w:val="continue"/>
            <w:shd w:val="clear" w:color="auto" w:fill="auto"/>
            <w:vAlign w:val="center"/>
          </w:tcPr>
          <w:p>
            <w:pPr>
              <w:tabs>
                <w:tab w:val="left" w:pos="796"/>
              </w:tabs>
              <w:autoSpaceDE w:val="0"/>
              <w:autoSpaceDN w:val="0"/>
              <w:spacing w:before="161" w:line="360" w:lineRule="auto"/>
              <w:ind w:left="196"/>
              <w:rPr>
                <w:rFonts w:ascii="宋体" w:hAnsi="宋体" w:cs="宋体"/>
                <w:kern w:val="0"/>
                <w:sz w:val="22"/>
                <w:lang w:val="zh-CN" w:eastAsia="en-US" w:bidi="zh-CN"/>
              </w:rPr>
            </w:pPr>
          </w:p>
        </w:tc>
        <w:tc>
          <w:tcPr>
            <w:tcW w:w="1725" w:type="dxa"/>
            <w:shd w:val="clear" w:color="auto" w:fill="auto"/>
            <w:vAlign w:val="center"/>
          </w:tcPr>
          <w:p>
            <w:pPr>
              <w:widowControl/>
              <w:spacing w:line="480" w:lineRule="auto"/>
              <w:rPr>
                <w:rFonts w:ascii="宋体" w:hAnsi="宋体" w:cs="宋体"/>
                <w:kern w:val="0"/>
                <w:sz w:val="22"/>
                <w:lang w:bidi="zh-CN"/>
              </w:rPr>
            </w:pPr>
            <w:r>
              <w:rPr>
                <w:rFonts w:hint="eastAsia" w:ascii="Calibri" w:hAnsi="Calibri"/>
                <w:spacing w:val="7"/>
              </w:rPr>
              <w:t>总监理工程师业绩（6分）</w:t>
            </w:r>
          </w:p>
        </w:tc>
        <w:tc>
          <w:tcPr>
            <w:tcW w:w="4380" w:type="dxa"/>
            <w:shd w:val="clear" w:color="auto" w:fill="auto"/>
            <w:vAlign w:val="center"/>
          </w:tcPr>
          <w:p>
            <w:pPr>
              <w:autoSpaceDE w:val="0"/>
              <w:autoSpaceDN w:val="0"/>
              <w:spacing w:line="480" w:lineRule="auto"/>
              <w:rPr>
                <w:rFonts w:ascii="宋体" w:hAnsi="宋体" w:cs="宋体"/>
                <w:kern w:val="0"/>
                <w:szCs w:val="20"/>
                <w:lang w:val="zh-CN" w:bidi="zh-CN"/>
              </w:rPr>
            </w:pPr>
            <w:r>
              <w:rPr>
                <w:rFonts w:hint="eastAsia"/>
              </w:rPr>
              <w:t>供应商自2019年1月1日以来</w:t>
            </w:r>
            <w:r>
              <w:rPr>
                <w:rFonts w:hint="eastAsia" w:ascii="宋体" w:hAnsi="宋体" w:cs="宋体"/>
                <w:kern w:val="0"/>
                <w:szCs w:val="20"/>
                <w:lang w:val="zh-CN" w:bidi="zh-CN"/>
              </w:rPr>
              <w:t>，拟派总监理工程师以总监身份</w:t>
            </w:r>
            <w:r>
              <w:rPr>
                <w:rFonts w:hint="eastAsia"/>
              </w:rPr>
              <w:t>每具有1个项目总投资不低于500万元的类似项目监理业绩的得3分，满分6分</w:t>
            </w:r>
            <w:r>
              <w:rPr>
                <w:rFonts w:hint="eastAsia" w:ascii="宋体" w:hAnsi="宋体" w:cs="宋体"/>
                <w:kern w:val="0"/>
                <w:szCs w:val="20"/>
                <w:lang w:val="zh-CN" w:bidi="zh-CN"/>
              </w:rPr>
              <w:t>。</w:t>
            </w:r>
          </w:p>
          <w:p>
            <w:pPr>
              <w:autoSpaceDE w:val="0"/>
              <w:autoSpaceDN w:val="0"/>
              <w:spacing w:line="480" w:lineRule="auto"/>
              <w:rPr>
                <w:rFonts w:ascii="宋体" w:hAnsi="宋体" w:cs="宋体"/>
                <w:kern w:val="0"/>
                <w:szCs w:val="20"/>
                <w:lang w:bidi="zh-CN"/>
              </w:rPr>
            </w:pPr>
            <w:r>
              <w:rPr>
                <w:rFonts w:hint="eastAsia" w:ascii="宋体" w:hAnsi="宋体" w:cs="宋体"/>
                <w:kern w:val="0"/>
                <w:szCs w:val="20"/>
                <w:lang w:val="zh-CN" w:bidi="zh-CN"/>
              </w:rPr>
              <w:t>注：</w:t>
            </w:r>
            <w:r>
              <w:rPr>
                <w:rFonts w:hint="eastAsia" w:ascii="宋体" w:hAnsi="宋体" w:cs="宋体"/>
                <w:kern w:val="0"/>
                <w:szCs w:val="20"/>
                <w:lang w:bidi="zh-CN"/>
              </w:rPr>
              <w:t>1.</w:t>
            </w:r>
            <w:r>
              <w:rPr>
                <w:rFonts w:hint="eastAsia" w:ascii="宋体" w:hAnsi="宋体" w:cs="宋体"/>
                <w:kern w:val="0"/>
                <w:szCs w:val="20"/>
                <w:lang w:val="zh-CN" w:bidi="zh-CN"/>
              </w:rPr>
              <w:t>需提供合同协议书，如</w:t>
            </w:r>
            <w:r>
              <w:rPr>
                <w:rFonts w:hint="eastAsia" w:ascii="宋体" w:hAnsi="宋体" w:cs="宋体"/>
                <w:kern w:val="0"/>
                <w:szCs w:val="20"/>
                <w:lang w:bidi="zh-CN"/>
              </w:rPr>
              <w:t>合同</w:t>
            </w:r>
            <w:r>
              <w:rPr>
                <w:rFonts w:hint="eastAsia" w:ascii="宋体" w:hAnsi="宋体" w:cs="宋体"/>
                <w:kern w:val="0"/>
                <w:szCs w:val="20"/>
                <w:lang w:val="zh-CN" w:bidi="zh-CN"/>
              </w:rPr>
              <w:t>内容不能体现具体要求，则需补充提供合同甲方出具的相关证明材料；</w:t>
            </w:r>
            <w:r>
              <w:rPr>
                <w:rFonts w:hint="eastAsia" w:ascii="宋体" w:hAnsi="宋体"/>
                <w:szCs w:val="22"/>
              </w:rPr>
              <w:t>业绩时间以合同签订时间为准。</w:t>
            </w:r>
          </w:p>
          <w:p>
            <w:pPr>
              <w:widowControl/>
              <w:spacing w:line="480" w:lineRule="auto"/>
              <w:rPr>
                <w:rFonts w:ascii="宋体" w:hAnsi="宋体" w:cs="宋体"/>
                <w:kern w:val="0"/>
                <w:sz w:val="22"/>
                <w:lang w:bidi="zh-CN"/>
              </w:rPr>
            </w:pPr>
            <w:r>
              <w:rPr>
                <w:rFonts w:hint="eastAsia" w:ascii="宋体" w:hAnsi="宋体" w:cs="宋体"/>
                <w:kern w:val="0"/>
                <w:szCs w:val="20"/>
                <w:lang w:bidi="zh-CN"/>
              </w:rPr>
              <w:t>2.此业绩可与供应商业绩为同一业绩。</w:t>
            </w:r>
          </w:p>
        </w:tc>
        <w:tc>
          <w:tcPr>
            <w:tcW w:w="1481" w:type="dxa"/>
            <w:shd w:val="clear" w:color="auto" w:fill="auto"/>
            <w:vAlign w:val="center"/>
          </w:tcPr>
          <w:p>
            <w:pPr>
              <w:autoSpaceDE w:val="0"/>
              <w:autoSpaceDN w:val="0"/>
              <w:spacing w:line="360" w:lineRule="auto"/>
              <w:ind w:right="279" w:firstLine="442" w:firstLineChars="200"/>
              <w:rPr>
                <w:rFonts w:ascii="宋体" w:hAnsi="宋体" w:cs="宋体"/>
                <w:b/>
                <w:kern w:val="0"/>
                <w:sz w:val="22"/>
                <w:lang w:eastAsia="en-US" w:bidi="zh-CN"/>
              </w:rPr>
            </w:pPr>
            <w:r>
              <w:rPr>
                <w:rFonts w:hint="eastAsia" w:ascii="宋体" w:hAnsi="宋体" w:cs="宋体"/>
                <w:b/>
                <w:kern w:val="0"/>
                <w:sz w:val="22"/>
                <w:lang w:eastAsia="en-US" w:bidi="zh-CN"/>
              </w:rPr>
              <w:t>0-6分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p>
          <w:p>
            <w:pPr>
              <w:widowControl/>
              <w:rPr>
                <w:rFonts w:ascii="宋体" w:hAnsi="宋体" w:cs="宋体"/>
                <w:kern w:val="0"/>
                <w:sz w:val="22"/>
                <w:lang w:bidi="zh-CN"/>
              </w:rPr>
            </w:pPr>
            <w:r>
              <w:rPr>
                <w:rFonts w:hint="eastAsia" w:ascii="Calibri" w:hAnsi="Calibri"/>
                <w:spacing w:val="7"/>
              </w:rPr>
              <w:t>供应商</w:t>
            </w:r>
            <w:r>
              <w:rPr>
                <w:rFonts w:ascii="Calibri" w:hAnsi="Calibri"/>
                <w:spacing w:val="7"/>
              </w:rPr>
              <w:t>荣誉（</w:t>
            </w:r>
            <w:r>
              <w:rPr>
                <w:rFonts w:hint="eastAsia" w:ascii="Calibri" w:hAnsi="Calibri"/>
                <w:spacing w:val="7"/>
              </w:rPr>
              <w:t>9分</w:t>
            </w:r>
            <w:r>
              <w:rPr>
                <w:rFonts w:ascii="Calibri" w:hAnsi="Calibri"/>
                <w:spacing w:val="7"/>
              </w:rPr>
              <w:t>）</w:t>
            </w:r>
          </w:p>
        </w:tc>
        <w:tc>
          <w:tcPr>
            <w:tcW w:w="4380" w:type="dxa"/>
            <w:shd w:val="clear" w:color="auto" w:fill="auto"/>
            <w:vAlign w:val="center"/>
          </w:tcPr>
          <w:p>
            <w:pPr>
              <w:pStyle w:val="58"/>
              <w:numPr>
                <w:ilvl w:val="0"/>
                <w:numId w:val="21"/>
              </w:numPr>
              <w:spacing w:line="480" w:lineRule="auto"/>
              <w:ind w:leftChars="0" w:firstLineChars="0"/>
              <w:rPr>
                <w:szCs w:val="21"/>
              </w:rPr>
            </w:pPr>
            <w:r>
              <w:rPr>
                <w:rFonts w:hint="eastAsia"/>
                <w:szCs w:val="21"/>
              </w:rPr>
              <w:t>供应商自2019年1月1日以来监理过的</w:t>
            </w:r>
            <w:r>
              <w:rPr>
                <w:szCs w:val="21"/>
              </w:rPr>
              <w:t>项目</w:t>
            </w:r>
            <w:r>
              <w:rPr>
                <w:rFonts w:hint="eastAsia"/>
                <w:szCs w:val="21"/>
              </w:rPr>
              <w:t>获得过市级及以上</w:t>
            </w:r>
            <w:r>
              <w:rPr>
                <w:szCs w:val="21"/>
              </w:rPr>
              <w:t>级奖项的得</w:t>
            </w:r>
            <w:r>
              <w:rPr>
                <w:rFonts w:hint="eastAsia"/>
                <w:szCs w:val="21"/>
              </w:rPr>
              <w:t>3分，</w:t>
            </w:r>
            <w:r>
              <w:rPr>
                <w:szCs w:val="21"/>
              </w:rPr>
              <w:t>满分</w:t>
            </w:r>
            <w:r>
              <w:rPr>
                <w:rFonts w:hint="eastAsia"/>
                <w:szCs w:val="21"/>
              </w:rPr>
              <w:t>9分</w:t>
            </w:r>
            <w:r>
              <w:rPr>
                <w:szCs w:val="21"/>
              </w:rPr>
              <w:t>；</w:t>
            </w:r>
          </w:p>
        </w:tc>
        <w:tc>
          <w:tcPr>
            <w:tcW w:w="1481" w:type="dxa"/>
            <w:shd w:val="clear" w:color="auto" w:fill="auto"/>
            <w:vAlign w:val="center"/>
          </w:tcPr>
          <w:p>
            <w:pPr>
              <w:autoSpaceDE w:val="0"/>
              <w:autoSpaceDN w:val="0"/>
              <w:spacing w:line="360" w:lineRule="auto"/>
              <w:ind w:right="279"/>
              <w:rPr>
                <w:rFonts w:ascii="宋体" w:hAnsi="宋体" w:cs="宋体"/>
                <w:b/>
                <w:kern w:val="0"/>
                <w:sz w:val="22"/>
                <w:lang w:bidi="zh-CN"/>
              </w:rPr>
            </w:pPr>
          </w:p>
          <w:p>
            <w:pPr>
              <w:autoSpaceDE w:val="0"/>
              <w:autoSpaceDN w:val="0"/>
              <w:spacing w:line="360" w:lineRule="auto"/>
              <w:ind w:right="279"/>
              <w:rPr>
                <w:rFonts w:ascii="宋体" w:hAnsi="宋体" w:cs="宋体"/>
                <w:b/>
                <w:kern w:val="0"/>
                <w:sz w:val="22"/>
                <w:lang w:bidi="zh-CN"/>
              </w:rPr>
            </w:pPr>
          </w:p>
          <w:p>
            <w:pPr>
              <w:autoSpaceDE w:val="0"/>
              <w:autoSpaceDN w:val="0"/>
              <w:spacing w:line="360" w:lineRule="auto"/>
              <w:ind w:right="279" w:firstLine="442" w:firstLineChars="200"/>
              <w:rPr>
                <w:rFonts w:ascii="宋体" w:hAnsi="宋体" w:cs="宋体"/>
                <w:b/>
                <w:kern w:val="0"/>
                <w:sz w:val="22"/>
                <w:lang w:eastAsia="en-US" w:bidi="zh-CN"/>
              </w:rPr>
            </w:pPr>
            <w:r>
              <w:rPr>
                <w:rFonts w:hint="eastAsia" w:ascii="宋体" w:hAnsi="宋体" w:cs="宋体"/>
                <w:b/>
                <w:kern w:val="0"/>
                <w:sz w:val="22"/>
                <w:lang w:eastAsia="en-US" w:bidi="zh-CN"/>
              </w:rPr>
              <w:t>0-</w:t>
            </w:r>
            <w:r>
              <w:rPr>
                <w:rFonts w:hint="eastAsia" w:ascii="宋体" w:hAnsi="宋体" w:cs="宋体"/>
                <w:b/>
                <w:kern w:val="0"/>
                <w:sz w:val="22"/>
                <w:lang w:bidi="zh-CN"/>
              </w:rPr>
              <w:t>9</w:t>
            </w:r>
            <w:r>
              <w:rPr>
                <w:rFonts w:hint="eastAsia" w:ascii="宋体" w:hAnsi="宋体" w:cs="宋体"/>
                <w:b/>
                <w:kern w:val="0"/>
                <w:sz w:val="22"/>
                <w:lang w:eastAsia="en-US"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autoSpaceDE w:val="0"/>
              <w:autoSpaceDN w:val="0"/>
              <w:spacing w:line="360" w:lineRule="auto"/>
              <w:ind w:left="353" w:right="346"/>
              <w:rPr>
                <w:rFonts w:ascii="宋体" w:hAnsi="宋体" w:cs="宋体"/>
                <w:kern w:val="0"/>
                <w:sz w:val="22"/>
                <w:lang w:eastAsia="en-US" w:bidi="zh-CN"/>
              </w:rPr>
            </w:pPr>
            <w:r>
              <w:rPr>
                <w:rFonts w:ascii="Calibri" w:hAnsi="Calibri"/>
                <w:spacing w:val="7"/>
              </w:rPr>
              <w:t>人员配备（</w:t>
            </w:r>
            <w:r>
              <w:rPr>
                <w:rFonts w:hint="eastAsia" w:ascii="Calibri" w:hAnsi="Calibri"/>
                <w:spacing w:val="7"/>
              </w:rPr>
              <w:t>10</w:t>
            </w:r>
            <w:r>
              <w:rPr>
                <w:rFonts w:ascii="Calibri" w:hAnsi="Calibri"/>
                <w:spacing w:val="7"/>
              </w:rPr>
              <w:t>分）</w:t>
            </w:r>
          </w:p>
        </w:tc>
        <w:tc>
          <w:tcPr>
            <w:tcW w:w="4380" w:type="dxa"/>
            <w:shd w:val="clear" w:color="auto" w:fill="auto"/>
            <w:vAlign w:val="center"/>
          </w:tcPr>
          <w:p>
            <w:pPr>
              <w:spacing w:line="480" w:lineRule="auto"/>
              <w:rPr>
                <w:rFonts w:ascii="宋体" w:hAnsi="宋体" w:cs="宋体"/>
                <w:kern w:val="0"/>
              </w:rPr>
            </w:pPr>
            <w:r>
              <w:rPr>
                <w:rFonts w:hint="eastAsia" w:ascii="宋体" w:hAnsi="宋体" w:cs="宋体"/>
                <w:kern w:val="0"/>
              </w:rPr>
              <w:t>拟派监理人员的资历：</w:t>
            </w:r>
          </w:p>
          <w:p>
            <w:pPr>
              <w:spacing w:line="480" w:lineRule="auto"/>
              <w:rPr>
                <w:rFonts w:ascii="宋体" w:hAnsi="宋体" w:cs="宋体"/>
                <w:kern w:val="0"/>
              </w:rPr>
            </w:pPr>
            <w:r>
              <w:rPr>
                <w:rFonts w:hint="eastAsia" w:ascii="宋体" w:hAnsi="宋体" w:cs="宋体"/>
                <w:kern w:val="0"/>
              </w:rPr>
              <w:t>（1）拟派项目总监理工程师具有中级工程师及以上技术职称的得4分；</w:t>
            </w:r>
          </w:p>
          <w:p>
            <w:pPr>
              <w:spacing w:line="480" w:lineRule="auto"/>
              <w:rPr>
                <w:rFonts w:ascii="宋体" w:hAnsi="宋体" w:cs="宋体"/>
                <w:kern w:val="0"/>
              </w:rPr>
            </w:pPr>
            <w:r>
              <w:rPr>
                <w:rFonts w:hint="eastAsia" w:ascii="宋体" w:hAnsi="宋体" w:cs="宋体"/>
                <w:kern w:val="0"/>
              </w:rPr>
              <w:t>（2）派驻现场的人员（不含项目负责人）中每具有一人具有中级及以上职称的得</w:t>
            </w:r>
            <w:r>
              <w:rPr>
                <w:rFonts w:ascii="宋体" w:hAnsi="宋体" w:cs="宋体"/>
                <w:kern w:val="0"/>
              </w:rPr>
              <w:t>3</w:t>
            </w:r>
            <w:r>
              <w:rPr>
                <w:rFonts w:hint="eastAsia" w:ascii="宋体" w:hAnsi="宋体" w:cs="宋体"/>
                <w:kern w:val="0"/>
              </w:rPr>
              <w:t>分，满分6分。</w:t>
            </w:r>
          </w:p>
          <w:p>
            <w:pPr>
              <w:widowControl/>
              <w:spacing w:line="480" w:lineRule="auto"/>
              <w:rPr>
                <w:rFonts w:ascii="宋体" w:hAnsi="宋体" w:cs="宋体"/>
                <w:kern w:val="0"/>
                <w:sz w:val="22"/>
                <w:lang w:bidi="zh-CN"/>
              </w:rPr>
            </w:pPr>
            <w:r>
              <w:rPr>
                <w:rFonts w:hint="eastAsia" w:ascii="宋体" w:hAnsi="宋体" w:cs="宋体"/>
                <w:b/>
                <w:kern w:val="0"/>
              </w:rPr>
              <w:t>注：提供人员证书和供应商为其自2024年01月1日以来连续三个月的社保缴纳证明。</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bidi="zh-CN"/>
              </w:rPr>
            </w:pPr>
          </w:p>
          <w:p>
            <w:pPr>
              <w:autoSpaceDE w:val="0"/>
              <w:autoSpaceDN w:val="0"/>
              <w:spacing w:line="360" w:lineRule="auto"/>
              <w:ind w:right="279" w:firstLine="442" w:firstLineChars="200"/>
              <w:rPr>
                <w:rFonts w:ascii="宋体" w:hAnsi="宋体" w:cs="宋体"/>
                <w:b/>
                <w:kern w:val="0"/>
                <w:sz w:val="22"/>
                <w:lang w:eastAsia="en-US" w:bidi="zh-CN"/>
              </w:rPr>
            </w:pPr>
            <w:r>
              <w:rPr>
                <w:rFonts w:hint="eastAsia" w:ascii="宋体" w:hAnsi="宋体" w:cs="宋体"/>
                <w:b/>
                <w:kern w:val="0"/>
                <w:sz w:val="22"/>
                <w:lang w:eastAsia="en-US" w:bidi="zh-CN"/>
              </w:rPr>
              <w:t>0-</w:t>
            </w:r>
            <w:r>
              <w:rPr>
                <w:rFonts w:hint="eastAsia" w:ascii="宋体" w:hAnsi="宋体" w:cs="宋体"/>
                <w:b/>
                <w:kern w:val="0"/>
                <w:sz w:val="22"/>
                <w:lang w:bidi="zh-CN"/>
              </w:rPr>
              <w:t>10</w:t>
            </w:r>
            <w:r>
              <w:rPr>
                <w:rFonts w:hint="eastAsia" w:ascii="宋体" w:hAnsi="宋体" w:cs="宋体"/>
                <w:b/>
                <w:kern w:val="0"/>
                <w:sz w:val="22"/>
                <w:lang w:eastAsia="en-US"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restart"/>
            <w:shd w:val="clear" w:color="auto" w:fill="auto"/>
            <w:vAlign w:val="center"/>
          </w:tcPr>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rPr>
                <w:rFonts w:ascii="宋体" w:hAnsi="宋体" w:cs="宋体"/>
                <w:color w:val="000000"/>
                <w:kern w:val="0"/>
                <w:lang w:bidi="ar"/>
              </w:rPr>
            </w:pPr>
          </w:p>
          <w:p>
            <w:pPr>
              <w:widowControl/>
            </w:pPr>
            <w:r>
              <w:rPr>
                <w:rFonts w:hint="eastAsia" w:ascii="宋体" w:hAnsi="宋体" w:cs="宋体"/>
                <w:color w:val="000000"/>
                <w:kern w:val="0"/>
                <w:lang w:bidi="ar"/>
              </w:rPr>
              <w:t>监理大纲</w:t>
            </w:r>
          </w:p>
          <w:p>
            <w:pPr>
              <w:widowControl/>
            </w:pPr>
            <w:r>
              <w:rPr>
                <w:rFonts w:hint="eastAsia" w:ascii="宋体" w:hAnsi="宋体" w:cs="宋体"/>
                <w:color w:val="000000"/>
                <w:kern w:val="0"/>
                <w:lang w:bidi="ar"/>
              </w:rPr>
              <w:t>评分标准</w:t>
            </w:r>
          </w:p>
          <w:p>
            <w:pPr>
              <w:widowControl/>
            </w:pPr>
            <w:r>
              <w:rPr>
                <w:rFonts w:hint="eastAsia" w:ascii="宋体" w:hAnsi="宋体" w:cs="宋体"/>
                <w:color w:val="000000"/>
                <w:kern w:val="0"/>
                <w:lang w:bidi="ar"/>
              </w:rPr>
              <w:t>（50分）</w:t>
            </w:r>
          </w:p>
          <w:p>
            <w:pPr>
              <w:autoSpaceDE w:val="0"/>
              <w:autoSpaceDN w:val="0"/>
              <w:spacing w:line="360" w:lineRule="auto"/>
              <w:rPr>
                <w:rFonts w:ascii="宋体" w:hAnsi="宋体"/>
                <w:kern w:val="0"/>
                <w:sz w:val="22"/>
              </w:rPr>
            </w:pPr>
          </w:p>
        </w:tc>
        <w:tc>
          <w:tcPr>
            <w:tcW w:w="1725" w:type="dxa"/>
            <w:shd w:val="clear" w:color="auto" w:fill="auto"/>
            <w:vAlign w:val="center"/>
          </w:tcPr>
          <w:p>
            <w:pPr>
              <w:widowControl/>
              <w:spacing w:line="360" w:lineRule="auto"/>
              <w:rPr>
                <w:rFonts w:ascii="宋体" w:hAnsi="宋体" w:cs="宋体"/>
                <w:color w:val="000000"/>
                <w:kern w:val="0"/>
                <w:lang w:bidi="ar"/>
              </w:rPr>
            </w:pPr>
            <w:r>
              <w:rPr>
                <w:rFonts w:hint="eastAsia" w:ascii="宋体" w:hAnsi="宋体" w:cs="宋体"/>
                <w:color w:val="000000"/>
                <w:kern w:val="0"/>
                <w:lang w:bidi="ar"/>
              </w:rPr>
              <w:t>对影响项目工期、质量和投资等关键问题的理解程度</w:t>
            </w:r>
          </w:p>
          <w:p>
            <w:pPr>
              <w:widowControl/>
              <w:spacing w:line="360" w:lineRule="auto"/>
              <w:rPr>
                <w:rFonts w:ascii="宋体" w:hAnsi="宋体" w:cs="宋体"/>
                <w:kern w:val="0"/>
                <w:sz w:val="22"/>
                <w:lang w:bidi="zh-CN"/>
              </w:rPr>
            </w:pPr>
            <w:r>
              <w:rPr>
                <w:rFonts w:hint="eastAsia" w:ascii="宋体" w:hAnsi="宋体" w:cs="宋体"/>
                <w:color w:val="000000"/>
                <w:kern w:val="0"/>
                <w:lang w:bidi="ar"/>
              </w:rPr>
              <w:t>（3 分）</w:t>
            </w:r>
          </w:p>
        </w:tc>
        <w:tc>
          <w:tcPr>
            <w:tcW w:w="4380" w:type="dxa"/>
            <w:shd w:val="clear" w:color="auto" w:fill="auto"/>
            <w:vAlign w:val="center"/>
          </w:tcPr>
          <w:p>
            <w:pPr>
              <w:widowControl/>
              <w:spacing w:line="360" w:lineRule="auto"/>
            </w:pPr>
            <w:r>
              <w:rPr>
                <w:rFonts w:hint="eastAsia" w:ascii="宋体" w:hAnsi="宋体" w:cs="宋体"/>
                <w:color w:val="000000"/>
                <w:kern w:val="0"/>
                <w:lang w:bidi="ar"/>
              </w:rPr>
              <w:t>理解深刻、方案得当的得 3 分，其他酌情赋分，但最低不低于1分。无相应内容得 0 分。</w:t>
            </w:r>
          </w:p>
          <w:p>
            <w:pPr>
              <w:widowControl/>
              <w:spacing w:line="360" w:lineRule="auto"/>
              <w:rPr>
                <w:rFonts w:ascii="宋体" w:hAnsi="宋体" w:cs="宋体"/>
                <w:kern w:val="0"/>
                <w:sz w:val="22"/>
                <w:lang w:bidi="zh-CN"/>
              </w:rPr>
            </w:pP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对工程施工过程中可能出现异常情况的认识与预控措施（2 分）</w:t>
            </w:r>
          </w:p>
        </w:tc>
        <w:tc>
          <w:tcPr>
            <w:tcW w:w="4380" w:type="dxa"/>
            <w:shd w:val="clear" w:color="auto" w:fill="auto"/>
            <w:vAlign w:val="center"/>
          </w:tcPr>
          <w:p>
            <w:pPr>
              <w:widowControl/>
              <w:spacing w:line="360" w:lineRule="auto"/>
            </w:pPr>
            <w:r>
              <w:rPr>
                <w:rFonts w:hint="eastAsia" w:ascii="宋体" w:hAnsi="宋体" w:cs="宋体"/>
                <w:color w:val="000000"/>
                <w:kern w:val="0"/>
                <w:lang w:bidi="ar"/>
              </w:rPr>
              <w:t>认识深刻、措施得当的得 2 分，其他酌情赋分，但最低不低于1分。无相应内容得 0 分。</w:t>
            </w:r>
          </w:p>
          <w:p>
            <w:pPr>
              <w:widowControl/>
              <w:spacing w:line="360" w:lineRule="auto"/>
              <w:rPr>
                <w:rFonts w:ascii="宋体" w:hAnsi="宋体" w:cs="宋体"/>
                <w:kern w:val="0"/>
                <w:sz w:val="22"/>
                <w:lang w:bidi="zh-CN"/>
              </w:rPr>
            </w:pP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工程进度控制措施（4 分）</w:t>
            </w:r>
          </w:p>
        </w:tc>
        <w:tc>
          <w:tcPr>
            <w:tcW w:w="4380" w:type="dxa"/>
            <w:shd w:val="clear" w:color="auto" w:fill="auto"/>
            <w:vAlign w:val="center"/>
          </w:tcPr>
          <w:p>
            <w:pPr>
              <w:widowControl/>
              <w:spacing w:line="360" w:lineRule="auto"/>
            </w:pPr>
            <w:r>
              <w:rPr>
                <w:rFonts w:hint="eastAsia" w:ascii="宋体" w:hAnsi="宋体" w:cs="宋体"/>
                <w:color w:val="000000"/>
                <w:kern w:val="0"/>
                <w:lang w:bidi="ar"/>
              </w:rPr>
              <w:t>完善、合理得 4 分，其他酌情赋分，但最低不低于2分。无相应内容得 0 分。</w:t>
            </w:r>
          </w:p>
          <w:p>
            <w:pPr>
              <w:widowControl/>
              <w:spacing w:line="360" w:lineRule="auto"/>
              <w:rPr>
                <w:rFonts w:ascii="宋体" w:hAnsi="宋体" w:cs="宋体"/>
                <w:kern w:val="0"/>
                <w:sz w:val="22"/>
                <w:lang w:bidi="zh-CN"/>
              </w:rPr>
            </w:pP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pPr>
            <w:r>
              <w:rPr>
                <w:rFonts w:hint="eastAsia" w:ascii="宋体" w:hAnsi="宋体" w:cs="宋体"/>
                <w:color w:val="000000"/>
                <w:kern w:val="0"/>
                <w:lang w:bidi="ar"/>
              </w:rPr>
              <w:t>工程质量控制措施（4 分）</w:t>
            </w:r>
          </w:p>
          <w:p>
            <w:pPr>
              <w:autoSpaceDE w:val="0"/>
              <w:autoSpaceDN w:val="0"/>
              <w:spacing w:line="360" w:lineRule="auto"/>
              <w:ind w:left="353" w:right="346"/>
              <w:rPr>
                <w:rFonts w:ascii="宋体" w:hAnsi="宋体" w:cs="宋体"/>
                <w:kern w:val="0"/>
                <w:sz w:val="22"/>
                <w:lang w:bidi="zh-CN"/>
              </w:rPr>
            </w:pPr>
          </w:p>
        </w:tc>
        <w:tc>
          <w:tcPr>
            <w:tcW w:w="4380" w:type="dxa"/>
            <w:shd w:val="clear" w:color="auto" w:fill="auto"/>
            <w:vAlign w:val="center"/>
          </w:tcPr>
          <w:p>
            <w:pPr>
              <w:widowControl/>
              <w:spacing w:line="360" w:lineRule="auto"/>
            </w:pPr>
            <w:r>
              <w:rPr>
                <w:rFonts w:hint="eastAsia" w:ascii="宋体" w:hAnsi="宋体" w:cs="宋体"/>
                <w:color w:val="000000"/>
                <w:kern w:val="0"/>
                <w:lang w:bidi="ar"/>
              </w:rPr>
              <w:t>完善、合理得 4 分，其他酌情赋分，但最低不低于2分。无相应内容得 0 分。</w:t>
            </w:r>
          </w:p>
          <w:p>
            <w:pPr>
              <w:widowControl/>
              <w:spacing w:line="360" w:lineRule="auto"/>
              <w:rPr>
                <w:rFonts w:ascii="宋体" w:hAnsi="宋体" w:cs="宋体"/>
                <w:kern w:val="0"/>
                <w:sz w:val="22"/>
                <w:lang w:bidi="zh-CN"/>
              </w:rPr>
            </w:pP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pPr>
            <w:r>
              <w:rPr>
                <w:rFonts w:hint="eastAsia" w:ascii="宋体" w:hAnsi="宋体" w:cs="宋体"/>
                <w:color w:val="000000"/>
                <w:kern w:val="0"/>
                <w:lang w:bidi="ar"/>
              </w:rPr>
              <w:t>工程投资控制措施（4 分）</w:t>
            </w:r>
          </w:p>
          <w:p>
            <w:pPr>
              <w:autoSpaceDE w:val="0"/>
              <w:autoSpaceDN w:val="0"/>
              <w:spacing w:line="360" w:lineRule="auto"/>
              <w:ind w:left="353" w:right="346"/>
              <w:rPr>
                <w:rFonts w:ascii="宋体" w:hAnsi="宋体" w:cs="宋体"/>
                <w:kern w:val="0"/>
                <w:sz w:val="22"/>
                <w:lang w:bidi="zh-CN"/>
              </w:rPr>
            </w:pPr>
          </w:p>
        </w:tc>
        <w:tc>
          <w:tcPr>
            <w:tcW w:w="4380" w:type="dxa"/>
            <w:shd w:val="clear" w:color="auto" w:fill="auto"/>
            <w:vAlign w:val="center"/>
          </w:tcPr>
          <w:p>
            <w:pPr>
              <w:widowControl/>
              <w:spacing w:line="360" w:lineRule="auto"/>
            </w:pPr>
            <w:r>
              <w:rPr>
                <w:rFonts w:hint="eastAsia" w:ascii="宋体" w:hAnsi="宋体" w:cs="宋体"/>
                <w:color w:val="000000"/>
                <w:kern w:val="0"/>
                <w:lang w:bidi="ar"/>
              </w:rPr>
              <w:t>完善、合理得 4 分，其他酌情赋分，但最低不低于2分。无相应内容得 0 分。</w:t>
            </w:r>
          </w:p>
          <w:p>
            <w:pPr>
              <w:widowControl/>
              <w:spacing w:line="360" w:lineRule="auto"/>
              <w:rPr>
                <w:rFonts w:ascii="宋体" w:hAnsi="宋体" w:cs="宋体"/>
                <w:kern w:val="0"/>
                <w:sz w:val="22"/>
                <w:lang w:bidi="zh-CN"/>
              </w:rPr>
            </w:pP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pPr>
            <w:r>
              <w:rPr>
                <w:rFonts w:hint="eastAsia" w:ascii="宋体" w:hAnsi="宋体" w:cs="宋体"/>
                <w:color w:val="000000"/>
                <w:kern w:val="0"/>
                <w:lang w:bidi="ar"/>
              </w:rPr>
              <w:t>工程安全生产控制措施 （3分）</w:t>
            </w:r>
          </w:p>
          <w:p>
            <w:pPr>
              <w:autoSpaceDE w:val="0"/>
              <w:autoSpaceDN w:val="0"/>
              <w:spacing w:line="360" w:lineRule="auto"/>
              <w:ind w:left="353" w:right="346"/>
              <w:rPr>
                <w:rFonts w:ascii="宋体" w:hAnsi="宋体" w:cs="宋体"/>
                <w:kern w:val="0"/>
                <w:sz w:val="22"/>
                <w:lang w:bidi="zh-CN"/>
              </w:rPr>
            </w:pPr>
          </w:p>
        </w:tc>
        <w:tc>
          <w:tcPr>
            <w:tcW w:w="4380" w:type="dxa"/>
            <w:shd w:val="clear" w:color="auto" w:fill="auto"/>
            <w:vAlign w:val="center"/>
          </w:tcPr>
          <w:p>
            <w:pPr>
              <w:widowControl/>
              <w:spacing w:line="360" w:lineRule="auto"/>
            </w:pPr>
            <w:r>
              <w:rPr>
                <w:rFonts w:hint="eastAsia" w:ascii="宋体" w:hAnsi="宋体" w:cs="宋体"/>
                <w:color w:val="000000"/>
                <w:kern w:val="0"/>
                <w:lang w:bidi="ar"/>
              </w:rPr>
              <w:t>完善、合理得 3 分，其他酌情赋分，但最低不低于1分。无相应内容得 0 分。</w:t>
            </w:r>
          </w:p>
          <w:p>
            <w:pPr>
              <w:widowControl/>
              <w:spacing w:line="360" w:lineRule="auto"/>
              <w:rPr>
                <w:rFonts w:ascii="宋体" w:hAnsi="宋体" w:cs="宋体"/>
                <w:kern w:val="0"/>
                <w:sz w:val="22"/>
                <w:lang w:bidi="zh-CN"/>
              </w:rPr>
            </w:pP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监理依据监理工作目标（4分）</w:t>
            </w:r>
          </w:p>
        </w:tc>
        <w:tc>
          <w:tcPr>
            <w:tcW w:w="4380"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完善、合理得 3 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kern w:val="0"/>
              </w:rPr>
              <w:t>监理机构设置和岗位职责</w:t>
            </w:r>
            <w:r>
              <w:rPr>
                <w:rFonts w:hint="eastAsia" w:ascii="宋体" w:hAnsi="宋体" w:cs="宋体"/>
                <w:color w:val="000000"/>
                <w:kern w:val="0"/>
                <w:lang w:bidi="ar"/>
              </w:rPr>
              <w:t>（4分）</w:t>
            </w:r>
          </w:p>
        </w:tc>
        <w:tc>
          <w:tcPr>
            <w:tcW w:w="4380"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完善、合理得4分，其他酌情赋分，但最低不低于1分。无相应内容得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eastAsia="en-US" w:bidi="zh-CN"/>
              </w:rPr>
            </w:pPr>
            <w:r>
              <w:rPr>
                <w:rFonts w:hint="eastAsia" w:ascii="宋体" w:hAnsi="宋体" w:cs="宋体"/>
                <w:color w:val="000000"/>
                <w:kern w:val="0"/>
                <w:lang w:bidi="ar"/>
              </w:rPr>
              <w:t>合同管理措施（4 分）</w:t>
            </w:r>
          </w:p>
        </w:tc>
        <w:tc>
          <w:tcPr>
            <w:tcW w:w="4380"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完善、合理得4分，其他酌情赋分，但最低不低于1分。无相应内容得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信息档案管理措施（4分）</w:t>
            </w:r>
          </w:p>
        </w:tc>
        <w:tc>
          <w:tcPr>
            <w:tcW w:w="4380"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完善、合理得4分，其他酌情赋分，但最低不低于1分。无相应内容得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监理组织协调内容及措施（4分）</w:t>
            </w:r>
          </w:p>
        </w:tc>
        <w:tc>
          <w:tcPr>
            <w:tcW w:w="4380"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完善、合理得4分，其他酌情赋分，但最低不低于1分。无相应内容得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110" w:type="dxa"/>
            <w:vMerge w:val="continue"/>
            <w:shd w:val="clear" w:color="auto" w:fill="auto"/>
            <w:vAlign w:val="center"/>
          </w:tcPr>
          <w:p>
            <w:pPr>
              <w:autoSpaceDE w:val="0"/>
              <w:autoSpaceDN w:val="0"/>
              <w:spacing w:line="360" w:lineRule="auto"/>
              <w:rPr>
                <w:rFonts w:ascii="宋体" w:hAnsi="宋体"/>
                <w:kern w:val="0"/>
                <w:sz w:val="22"/>
                <w:lang w:eastAsia="en-US"/>
              </w:rPr>
            </w:pPr>
          </w:p>
        </w:tc>
        <w:tc>
          <w:tcPr>
            <w:tcW w:w="1725" w:type="dxa"/>
            <w:shd w:val="clear" w:color="auto" w:fill="auto"/>
            <w:vAlign w:val="center"/>
          </w:tcPr>
          <w:p>
            <w:pPr>
              <w:adjustRightInd w:val="0"/>
              <w:snapToGrid w:val="0"/>
              <w:spacing w:line="360" w:lineRule="auto"/>
              <w:rPr>
                <w:rFonts w:ascii="宋体" w:hAnsi="宋体"/>
                <w:kern w:val="0"/>
                <w:szCs w:val="22"/>
              </w:rPr>
            </w:pPr>
            <w:r>
              <w:rPr>
                <w:rFonts w:hint="eastAsia" w:ascii="宋体" w:hAnsi="宋体"/>
                <w:kern w:val="0"/>
                <w:szCs w:val="22"/>
              </w:rPr>
              <w:t>监理工作重点、难点分析</w:t>
            </w:r>
            <w:r>
              <w:rPr>
                <w:rFonts w:hint="eastAsia" w:ascii="宋体" w:hAnsi="宋体" w:cs="宋体"/>
                <w:color w:val="000000"/>
                <w:kern w:val="0"/>
                <w:lang w:bidi="ar"/>
              </w:rPr>
              <w:t>（5分）</w:t>
            </w:r>
          </w:p>
          <w:p>
            <w:pPr>
              <w:widowControl/>
              <w:spacing w:line="360" w:lineRule="auto"/>
              <w:rPr>
                <w:rFonts w:ascii="宋体" w:hAnsi="宋体" w:cs="宋体"/>
                <w:color w:val="000000"/>
                <w:kern w:val="0"/>
                <w:lang w:bidi="ar"/>
              </w:rPr>
            </w:pPr>
          </w:p>
        </w:tc>
        <w:tc>
          <w:tcPr>
            <w:tcW w:w="4380" w:type="dxa"/>
            <w:shd w:val="clear" w:color="auto" w:fill="auto"/>
            <w:vAlign w:val="center"/>
          </w:tcPr>
          <w:p>
            <w:pPr>
              <w:widowControl/>
              <w:spacing w:line="360" w:lineRule="auto"/>
              <w:rPr>
                <w:rFonts w:ascii="宋体" w:hAnsi="宋体" w:cs="宋体"/>
                <w:color w:val="000000"/>
                <w:kern w:val="0"/>
                <w:lang w:bidi="ar"/>
              </w:rPr>
            </w:pPr>
            <w:r>
              <w:rPr>
                <w:rFonts w:hint="eastAsia" w:ascii="宋体" w:hAnsi="宋体" w:cs="宋体"/>
                <w:color w:val="000000"/>
                <w:kern w:val="0"/>
                <w:lang w:bidi="ar"/>
              </w:rPr>
              <w:t>完善、合理得5分，其他酌情赋分，但最低不低于1分。无相应内容得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w:t>
            </w:r>
            <w:r>
              <w:rPr>
                <w:rFonts w:hint="eastAsia" w:ascii="宋体" w:hAnsi="宋体" w:cs="宋体"/>
                <w:b/>
                <w:kern w:val="0"/>
                <w:sz w:val="22"/>
                <w:lang w:bidi="zh-CN"/>
              </w:rPr>
              <w:t>5</w:t>
            </w:r>
            <w:r>
              <w:rPr>
                <w:rFonts w:hint="eastAsia" w:ascii="宋体" w:hAnsi="宋体" w:cs="宋体"/>
                <w:b/>
                <w:kern w:val="0"/>
                <w:sz w:val="22"/>
                <w:lang w:eastAsia="en-US"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74" w:type="dxa"/>
            <w:vMerge w:val="continue"/>
            <w:shd w:val="clear" w:color="auto" w:fill="auto"/>
            <w:vAlign w:val="center"/>
          </w:tcPr>
          <w:p>
            <w:pPr>
              <w:autoSpaceDE w:val="0"/>
              <w:autoSpaceDN w:val="0"/>
              <w:spacing w:line="360" w:lineRule="auto"/>
              <w:rPr>
                <w:rFonts w:ascii="宋体" w:hAnsi="宋体"/>
                <w:kern w:val="0"/>
                <w:sz w:val="22"/>
              </w:rPr>
            </w:pPr>
          </w:p>
        </w:tc>
        <w:tc>
          <w:tcPr>
            <w:tcW w:w="1110" w:type="dxa"/>
            <w:vMerge w:val="continue"/>
            <w:shd w:val="clear" w:color="auto" w:fill="auto"/>
            <w:vAlign w:val="center"/>
          </w:tcPr>
          <w:p>
            <w:pPr>
              <w:autoSpaceDE w:val="0"/>
              <w:autoSpaceDN w:val="0"/>
              <w:spacing w:line="360" w:lineRule="auto"/>
              <w:rPr>
                <w:rFonts w:ascii="宋体" w:hAnsi="宋体"/>
                <w:kern w:val="0"/>
                <w:sz w:val="22"/>
              </w:rPr>
            </w:pPr>
          </w:p>
        </w:tc>
        <w:tc>
          <w:tcPr>
            <w:tcW w:w="1725"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kern w:val="0"/>
              </w:rPr>
              <w:t>合理化建议</w:t>
            </w:r>
            <w:r>
              <w:rPr>
                <w:rFonts w:hint="eastAsia" w:ascii="宋体" w:hAnsi="宋体" w:cs="宋体"/>
                <w:color w:val="000000"/>
                <w:kern w:val="0"/>
                <w:lang w:bidi="ar"/>
              </w:rPr>
              <w:t>（5分）</w:t>
            </w:r>
          </w:p>
        </w:tc>
        <w:tc>
          <w:tcPr>
            <w:tcW w:w="4380" w:type="dxa"/>
            <w:shd w:val="clear" w:color="auto" w:fill="auto"/>
            <w:vAlign w:val="center"/>
          </w:tcPr>
          <w:p>
            <w:pPr>
              <w:widowControl/>
              <w:spacing w:line="360" w:lineRule="auto"/>
              <w:rPr>
                <w:rFonts w:ascii="宋体" w:hAnsi="宋体" w:cs="宋体"/>
                <w:kern w:val="0"/>
                <w:sz w:val="22"/>
                <w:lang w:bidi="zh-CN"/>
              </w:rPr>
            </w:pPr>
            <w:r>
              <w:rPr>
                <w:rFonts w:hint="eastAsia" w:ascii="宋体" w:hAnsi="宋体" w:cs="宋体"/>
                <w:color w:val="000000"/>
                <w:kern w:val="0"/>
                <w:lang w:bidi="ar"/>
              </w:rPr>
              <w:t>完善、合理得5分，其他酌情赋分，但最低不低于1分。无相应内容得 0 分。</w:t>
            </w:r>
          </w:p>
        </w:tc>
        <w:tc>
          <w:tcPr>
            <w:tcW w:w="1481" w:type="dxa"/>
            <w:shd w:val="clear" w:color="auto" w:fill="auto"/>
            <w:vAlign w:val="center"/>
          </w:tcPr>
          <w:p>
            <w:pPr>
              <w:autoSpaceDE w:val="0"/>
              <w:autoSpaceDN w:val="0"/>
              <w:spacing w:line="360" w:lineRule="auto"/>
              <w:ind w:right="279" w:firstLine="221" w:firstLineChars="100"/>
              <w:rPr>
                <w:rFonts w:ascii="宋体" w:hAnsi="宋体" w:cs="宋体"/>
                <w:b/>
                <w:kern w:val="0"/>
                <w:sz w:val="22"/>
                <w:lang w:eastAsia="en-US" w:bidi="zh-CN"/>
              </w:rPr>
            </w:pPr>
            <w:r>
              <w:rPr>
                <w:rFonts w:hint="eastAsia" w:ascii="宋体" w:hAnsi="宋体" w:cs="宋体"/>
                <w:b/>
                <w:kern w:val="0"/>
                <w:sz w:val="22"/>
                <w:lang w:eastAsia="en-US" w:bidi="zh-CN"/>
              </w:rPr>
              <w:t>0-</w:t>
            </w:r>
            <w:r>
              <w:rPr>
                <w:rFonts w:hint="eastAsia" w:ascii="宋体" w:hAnsi="宋体" w:cs="宋体"/>
                <w:b/>
                <w:kern w:val="0"/>
                <w:sz w:val="22"/>
                <w:lang w:bidi="zh-CN"/>
              </w:rPr>
              <w:t>5</w:t>
            </w:r>
            <w:r>
              <w:rPr>
                <w:rFonts w:hint="eastAsia" w:ascii="宋体" w:hAnsi="宋体" w:cs="宋体"/>
                <w:b/>
                <w:kern w:val="0"/>
                <w:sz w:val="22"/>
                <w:lang w:eastAsia="en-US"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474" w:type="dxa"/>
            <w:shd w:val="clear" w:color="auto" w:fill="auto"/>
          </w:tcPr>
          <w:p>
            <w:pPr>
              <w:autoSpaceDE w:val="0"/>
              <w:autoSpaceDN w:val="0"/>
              <w:spacing w:line="360" w:lineRule="auto"/>
              <w:jc w:val="left"/>
              <w:rPr>
                <w:rFonts w:ascii="宋体" w:hAnsi="宋体" w:cs="宋体"/>
                <w:kern w:val="0"/>
                <w:sz w:val="22"/>
                <w:lang w:val="zh-CN" w:bidi="zh-CN"/>
              </w:rPr>
            </w:pPr>
          </w:p>
          <w:p>
            <w:pPr>
              <w:autoSpaceDE w:val="0"/>
              <w:autoSpaceDN w:val="0"/>
              <w:spacing w:before="158" w:line="360" w:lineRule="auto"/>
              <w:ind w:left="9"/>
              <w:jc w:val="center"/>
              <w:rPr>
                <w:rFonts w:ascii="宋体" w:hAnsi="宋体" w:cs="宋体"/>
                <w:kern w:val="0"/>
                <w:sz w:val="22"/>
                <w:lang w:val="zh-CN" w:eastAsia="en-US" w:bidi="zh-CN"/>
              </w:rPr>
            </w:pPr>
            <w:r>
              <w:rPr>
                <w:rFonts w:ascii="宋体" w:hAnsi="宋体" w:cs="宋体"/>
                <w:kern w:val="0"/>
                <w:sz w:val="22"/>
                <w:lang w:val="zh-CN" w:eastAsia="en-US" w:bidi="zh-CN"/>
              </w:rPr>
              <w:t>价格分</w:t>
            </w:r>
          </w:p>
          <w:p>
            <w:pPr>
              <w:tabs>
                <w:tab w:val="left" w:pos="608"/>
              </w:tabs>
              <w:autoSpaceDE w:val="0"/>
              <w:autoSpaceDN w:val="0"/>
              <w:spacing w:before="160" w:line="360" w:lineRule="auto"/>
              <w:ind w:left="9"/>
              <w:jc w:val="center"/>
              <w:rPr>
                <w:rFonts w:ascii="宋体" w:hAnsi="宋体" w:cs="宋体"/>
                <w:kern w:val="0"/>
                <w:sz w:val="22"/>
                <w:lang w:val="zh-CN" w:eastAsia="en-US" w:bidi="zh-CN"/>
              </w:rPr>
            </w:pPr>
            <w:r>
              <w:rPr>
                <w:rFonts w:ascii="宋体" w:hAnsi="宋体" w:cs="宋体"/>
                <w:kern w:val="0"/>
                <w:sz w:val="22"/>
                <w:lang w:val="zh-CN" w:eastAsia="en-US" w:bidi="zh-CN"/>
              </w:rPr>
              <w:t>（</w:t>
            </w:r>
            <w:r>
              <w:rPr>
                <w:rFonts w:ascii="宋体" w:hAnsi="宋体" w:cs="宋体"/>
                <w:kern w:val="0"/>
                <w:sz w:val="22"/>
                <w:u w:val="single"/>
                <w:lang w:eastAsia="en-US" w:bidi="zh-CN"/>
              </w:rPr>
              <w:t>1</w:t>
            </w:r>
            <w:r>
              <w:rPr>
                <w:rFonts w:ascii="宋体" w:hAnsi="宋体" w:cs="宋体"/>
                <w:kern w:val="0"/>
                <w:sz w:val="22"/>
                <w:u w:val="single"/>
                <w:lang w:val="zh-CN" w:eastAsia="en-US" w:bidi="zh-CN"/>
              </w:rPr>
              <w:t>0</w:t>
            </w:r>
            <w:r>
              <w:rPr>
                <w:rFonts w:ascii="宋体" w:hAnsi="宋体" w:cs="宋体"/>
                <w:kern w:val="0"/>
                <w:sz w:val="22"/>
                <w:lang w:val="zh-CN" w:eastAsia="en-US" w:bidi="zh-CN"/>
              </w:rPr>
              <w:t>分）</w:t>
            </w:r>
          </w:p>
        </w:tc>
        <w:tc>
          <w:tcPr>
            <w:tcW w:w="1110" w:type="dxa"/>
            <w:shd w:val="clear" w:color="auto" w:fill="auto"/>
          </w:tcPr>
          <w:p>
            <w:pPr>
              <w:tabs>
                <w:tab w:val="left" w:pos="608"/>
              </w:tabs>
              <w:autoSpaceDE w:val="0"/>
              <w:autoSpaceDN w:val="0"/>
              <w:spacing w:before="160" w:line="360" w:lineRule="auto"/>
              <w:ind w:left="9"/>
              <w:jc w:val="center"/>
              <w:rPr>
                <w:rFonts w:ascii="宋体" w:hAnsi="宋体" w:cs="宋体"/>
                <w:kern w:val="0"/>
                <w:sz w:val="22"/>
                <w:lang w:val="zh-CN" w:eastAsia="en-US" w:bidi="zh-CN"/>
              </w:rPr>
            </w:pPr>
          </w:p>
        </w:tc>
        <w:tc>
          <w:tcPr>
            <w:tcW w:w="7586" w:type="dxa"/>
            <w:gridSpan w:val="3"/>
            <w:shd w:val="clear" w:color="auto" w:fill="auto"/>
          </w:tcPr>
          <w:p>
            <w:pPr>
              <w:autoSpaceDE w:val="0"/>
              <w:autoSpaceDN w:val="0"/>
              <w:spacing w:line="360" w:lineRule="auto"/>
              <w:ind w:left="107" w:right="100"/>
              <w:rPr>
                <w:rFonts w:ascii="宋体" w:hAnsi="宋体" w:cs="宋体"/>
                <w:kern w:val="0"/>
                <w:sz w:val="22"/>
                <w:lang w:val="zh-CN" w:bidi="zh-CN"/>
              </w:rPr>
            </w:pPr>
            <w:r>
              <w:rPr>
                <w:rFonts w:ascii="宋体" w:hAnsi="宋体" w:cs="宋体"/>
                <w:kern w:val="0"/>
                <w:sz w:val="22"/>
                <w:lang w:val="zh-CN" w:bidi="zh-CN"/>
              </w:rPr>
              <w:t>价格分统一采用低价优先法，即满足竞争性磋商文件要求且价格最低的最后报价为评标基准价，其价格分为满分</w:t>
            </w:r>
            <w:r>
              <w:rPr>
                <w:rFonts w:hint="eastAsia" w:ascii="宋体" w:hAnsi="宋体" w:cs="宋体"/>
                <w:kern w:val="0"/>
                <w:sz w:val="22"/>
                <w:u w:val="single"/>
                <w:lang w:bidi="zh-CN"/>
              </w:rPr>
              <w:t>1</w:t>
            </w:r>
            <w:r>
              <w:rPr>
                <w:rFonts w:ascii="宋体" w:hAnsi="宋体" w:cs="宋体"/>
                <w:kern w:val="0"/>
                <w:sz w:val="22"/>
                <w:u w:val="single"/>
                <w:lang w:val="zh-CN" w:bidi="zh-CN"/>
              </w:rPr>
              <w:t>0</w:t>
            </w:r>
            <w:r>
              <w:rPr>
                <w:rFonts w:ascii="宋体" w:hAnsi="宋体" w:cs="宋体"/>
                <w:kern w:val="0"/>
                <w:sz w:val="22"/>
                <w:lang w:val="zh-CN" w:bidi="zh-CN"/>
              </w:rPr>
              <w:t>分。其他供应商的价格分统一按照下列公式计算：</w:t>
            </w:r>
          </w:p>
          <w:p>
            <w:pPr>
              <w:tabs>
                <w:tab w:val="left" w:pos="5148"/>
              </w:tabs>
              <w:autoSpaceDE w:val="0"/>
              <w:autoSpaceDN w:val="0"/>
              <w:spacing w:line="360" w:lineRule="auto"/>
              <w:ind w:left="107"/>
              <w:jc w:val="left"/>
              <w:rPr>
                <w:rFonts w:ascii="宋体" w:hAnsi="宋体" w:cs="宋体"/>
                <w:kern w:val="0"/>
                <w:sz w:val="22"/>
                <w:lang w:val="zh-CN" w:bidi="zh-CN"/>
              </w:rPr>
            </w:pPr>
            <w:r>
              <w:rPr>
                <w:rFonts w:ascii="宋体" w:hAnsi="宋体" w:cs="宋体"/>
                <w:kern w:val="0"/>
                <w:sz w:val="22"/>
                <w:lang w:val="zh-CN" w:bidi="zh-CN"/>
              </w:rPr>
              <w:t>最后报价得分＝（评标基准价/最后报价）×</w:t>
            </w:r>
            <w:r>
              <w:rPr>
                <w:rFonts w:ascii="宋体" w:hAnsi="宋体" w:cs="宋体"/>
                <w:kern w:val="0"/>
                <w:sz w:val="22"/>
                <w:u w:val="single"/>
                <w:lang w:val="zh-CN" w:bidi="zh-CN"/>
              </w:rPr>
              <w:t xml:space="preserve"> </w:t>
            </w:r>
            <w:r>
              <w:rPr>
                <w:rFonts w:hint="eastAsia" w:ascii="宋体" w:hAnsi="宋体" w:cs="宋体"/>
                <w:kern w:val="0"/>
                <w:sz w:val="22"/>
                <w:u w:val="single"/>
                <w:lang w:bidi="zh-CN"/>
              </w:rPr>
              <w:t>1</w:t>
            </w:r>
            <w:r>
              <w:rPr>
                <w:rFonts w:ascii="宋体" w:hAnsi="宋体" w:cs="宋体"/>
                <w:kern w:val="0"/>
                <w:sz w:val="22"/>
                <w:u w:val="single"/>
                <w:lang w:val="zh-CN" w:bidi="zh-CN"/>
              </w:rPr>
              <w:t xml:space="preserve">0 </w:t>
            </w:r>
            <w:r>
              <w:rPr>
                <w:rFonts w:ascii="宋体" w:hAnsi="宋体" w:cs="宋体"/>
                <w:kern w:val="0"/>
                <w:sz w:val="22"/>
                <w:lang w:val="zh-CN" w:bidi="zh-CN"/>
              </w:rPr>
              <w:t>％×100</w:t>
            </w:r>
          </w:p>
        </w:tc>
      </w:tr>
    </w:tbl>
    <w:p>
      <w:pPr>
        <w:pStyle w:val="33"/>
        <w:tabs>
          <w:tab w:val="left" w:pos="834"/>
          <w:tab w:val="left" w:pos="1330"/>
          <w:tab w:val="left" w:pos="4435"/>
        </w:tabs>
        <w:spacing w:before="160" w:after="6" w:line="360" w:lineRule="auto"/>
        <w:ind w:left="668" w:right="371" w:firstLine="0"/>
        <w:rPr>
          <w:sz w:val="21"/>
          <w:szCs w:val="21"/>
          <w:lang w:val="en-US"/>
        </w:rPr>
      </w:pPr>
    </w:p>
    <w:p>
      <w:pPr>
        <w:pStyle w:val="33"/>
        <w:numPr>
          <w:ilvl w:val="2"/>
          <w:numId w:val="20"/>
        </w:numPr>
        <w:tabs>
          <w:tab w:val="left" w:pos="1330"/>
        </w:tabs>
        <w:spacing w:line="360" w:lineRule="auto"/>
        <w:ind w:left="1329" w:hanging="661"/>
        <w:jc w:val="both"/>
        <w:rPr>
          <w:sz w:val="21"/>
          <w:szCs w:val="21"/>
        </w:rPr>
      </w:pPr>
      <w:r>
        <w:rPr>
          <w:sz w:val="21"/>
          <w:szCs w:val="21"/>
        </w:rPr>
        <w:t>分值汇总</w:t>
      </w:r>
    </w:p>
    <w:p>
      <w:pPr>
        <w:pStyle w:val="33"/>
        <w:numPr>
          <w:ilvl w:val="0"/>
          <w:numId w:val="22"/>
        </w:numPr>
        <w:tabs>
          <w:tab w:val="left" w:pos="1275"/>
        </w:tabs>
        <w:spacing w:before="160" w:line="360" w:lineRule="auto"/>
        <w:ind w:right="368" w:firstLine="434"/>
        <w:jc w:val="both"/>
        <w:rPr>
          <w:sz w:val="21"/>
          <w:szCs w:val="21"/>
        </w:rPr>
      </w:pPr>
      <w:r>
        <w:rPr>
          <w:sz w:val="21"/>
          <w:szCs w:val="21"/>
        </w:rPr>
        <w:t>竞争性磋商小组各成员应当独立对每个有效响应的文件进行评价、打分，然后汇总每个供应商每项评分因素的得分（四舍五入保留至小数点后两位数</w:t>
      </w:r>
      <w:r>
        <w:rPr>
          <w:spacing w:val="-120"/>
          <w:sz w:val="21"/>
          <w:szCs w:val="21"/>
        </w:rPr>
        <w:t>）</w:t>
      </w:r>
      <w:r>
        <w:rPr>
          <w:spacing w:val="-9"/>
          <w:sz w:val="21"/>
          <w:szCs w:val="21"/>
        </w:rPr>
        <w:t>，再</w:t>
      </w:r>
      <w:r>
        <w:rPr>
          <w:sz w:val="21"/>
          <w:szCs w:val="21"/>
        </w:rPr>
        <w:t>将供应商每项评分因素的得分进行汇总，得到该供应商的技术资信分之和。</w:t>
      </w:r>
    </w:p>
    <w:p>
      <w:pPr>
        <w:pStyle w:val="33"/>
        <w:numPr>
          <w:ilvl w:val="0"/>
          <w:numId w:val="22"/>
        </w:numPr>
        <w:tabs>
          <w:tab w:val="left" w:pos="1275"/>
        </w:tabs>
        <w:spacing w:line="360" w:lineRule="auto"/>
        <w:ind w:right="369" w:firstLine="434"/>
        <w:rPr>
          <w:sz w:val="21"/>
          <w:szCs w:val="21"/>
        </w:rPr>
      </w:pPr>
      <w:r>
        <w:rPr>
          <w:spacing w:val="-1"/>
          <w:sz w:val="21"/>
          <w:szCs w:val="21"/>
        </w:rPr>
        <w:t xml:space="preserve">将每个供应商的技术资信分之和加上根据上述标准计算出的价格分， </w:t>
      </w:r>
      <w:r>
        <w:rPr>
          <w:sz w:val="21"/>
          <w:szCs w:val="21"/>
        </w:rPr>
        <w:t>即为该供应商的综合总得分。</w:t>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r>
        <w:rPr>
          <w:rFonts w:hint="eastAsia" w:ascii="宋体" w:hAnsi="宋体"/>
        </w:rPr>
        <w:t>-</w:t>
      </w:r>
    </w:p>
    <w:p>
      <w:pPr>
        <w:pStyle w:val="3"/>
        <w:numPr>
          <w:ilvl w:val="0"/>
          <w:numId w:val="23"/>
        </w:numPr>
        <w:tabs>
          <w:tab w:val="left" w:pos="1125"/>
        </w:tabs>
        <w:spacing w:line="240" w:lineRule="auto"/>
        <w:ind w:right="136"/>
        <w:jc w:val="center"/>
        <w:rPr>
          <w:rFonts w:ascii="宋体" w:hAnsi="宋体"/>
          <w:sz w:val="36"/>
          <w:szCs w:val="36"/>
        </w:rPr>
      </w:pPr>
      <w:bookmarkStart w:id="43" w:name="_Toc29145255"/>
      <w:r>
        <w:rPr>
          <w:rFonts w:hint="eastAsia" w:ascii="宋体" w:hAnsi="宋体"/>
          <w:sz w:val="36"/>
          <w:szCs w:val="36"/>
        </w:rPr>
        <w:t>合</w:t>
      </w:r>
      <w:r>
        <w:rPr>
          <w:rFonts w:hint="eastAsia" w:ascii="宋体" w:hAnsi="宋体" w:cs="宋体"/>
          <w:sz w:val="36"/>
          <w:szCs w:val="36"/>
        </w:rPr>
        <w:t>同条款及格</w:t>
      </w:r>
      <w:r>
        <w:rPr>
          <w:rFonts w:hint="eastAsia" w:ascii="宋体" w:hAnsi="宋体"/>
          <w:sz w:val="36"/>
          <w:szCs w:val="36"/>
        </w:rPr>
        <w:t>式</w:t>
      </w:r>
      <w:bookmarkEnd w:id="43"/>
    </w:p>
    <w:p>
      <w:pPr>
        <w:autoSpaceDE w:val="0"/>
        <w:autoSpaceDN w:val="0"/>
        <w:spacing w:line="360" w:lineRule="auto"/>
        <w:ind w:left="107" w:right="100"/>
        <w:rPr>
          <w:rFonts w:ascii="宋体" w:hAnsi="宋体" w:cs="宋体"/>
          <w:kern w:val="0"/>
          <w:sz w:val="22"/>
          <w:lang w:val="zh-CN" w:bidi="zh-CN"/>
        </w:rPr>
      </w:pPr>
      <w:r>
        <w:rPr>
          <w:rFonts w:hint="eastAsia"/>
          <w:sz w:val="24"/>
          <w:szCs w:val="32"/>
        </w:rPr>
        <w:t xml:space="preserve"> </w:t>
      </w:r>
      <w:r>
        <w:rPr>
          <w:rFonts w:hint="eastAsia" w:ascii="宋体" w:hAnsi="宋体" w:cs="宋体"/>
          <w:kern w:val="0"/>
          <w:sz w:val="22"/>
          <w:lang w:bidi="zh-CN"/>
        </w:rPr>
        <w:t xml:space="preserve"> </w:t>
      </w:r>
      <w:r>
        <w:rPr>
          <w:rFonts w:hint="eastAsia" w:ascii="宋体" w:hAnsi="宋体" w:cs="宋体"/>
          <w:kern w:val="0"/>
          <w:sz w:val="22"/>
          <w:lang w:val="zh-CN" w:bidi="zh-CN"/>
        </w:rPr>
        <w:t xml:space="preserve">合同格式参照建设部、国家工商局联合颁布的《建设工程委托监理合同（示范文本）》（GF——2000——0202）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（第一部分） 建设工程委托监理合同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委托人 与监理人 经双方协商一致，签订本合同。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一、委托人委托监理人监理的工程（以下简称“本工程”）概况如下：</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工程名称：</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工程地点：</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工程规模：</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总投资：</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二、本合同中的有关词语含义与本合同第二部分《标准条件》中赋予它们的定义相同。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三、下列文件均为本合同的组成部分：</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①监理响应文件或成交通知书；</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②本合同标准条件；</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③本合同专用条件；</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④在实施过程中双方共同签署的补充与修正文件。</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四、监理人向委托人承诺，按照本合同的规定，承担本合同专用条件中议定范围内的监理业务。</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五、委托人向监理人承诺按照本合同注明的期限、方式、币种向监理人支付报酬。</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本合同自___年___月___日开始实施，至___年___月___日完成。</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本合同一式___份，具有同等法律效力，双方各执____份。</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委托人：（签章）　　　           监理人：（签章）</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住所：　　　　　　              住所：</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法定代表人：（签章）　　             法定代表人：（签章）</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开户银行：　　　　                  开户银行：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账号：　　　　　　                  账号：</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电话：　　　　　　                  电话：</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本合同签订于：____年__月__日</w:t>
      </w:r>
    </w:p>
    <w:p>
      <w:pPr>
        <w:autoSpaceDE w:val="0"/>
        <w:autoSpaceDN w:val="0"/>
        <w:spacing w:line="360" w:lineRule="auto"/>
        <w:ind w:left="107" w:right="100"/>
        <w:rPr>
          <w:rFonts w:ascii="宋体" w:hAnsi="宋体" w:cs="宋体"/>
          <w:kern w:val="0"/>
          <w:sz w:val="22"/>
          <w:lang w:val="zh-CN" w:bidi="zh-CN"/>
        </w:rPr>
      </w:pPr>
    </w:p>
    <w:p>
      <w:pPr>
        <w:autoSpaceDE w:val="0"/>
        <w:autoSpaceDN w:val="0"/>
        <w:spacing w:line="360" w:lineRule="auto"/>
        <w:ind w:left="107" w:right="100"/>
        <w:rPr>
          <w:rFonts w:ascii="宋体" w:hAnsi="宋体" w:cs="宋体"/>
          <w:kern w:val="0"/>
          <w:sz w:val="22"/>
          <w:lang w:val="zh-CN" w:bidi="zh-CN"/>
        </w:rPr>
      </w:pPr>
    </w:p>
    <w:p>
      <w:pPr>
        <w:pStyle w:val="2"/>
        <w:ind w:firstLine="440"/>
        <w:rPr>
          <w:rFonts w:ascii="宋体" w:hAnsi="宋体" w:cs="宋体"/>
          <w:kern w:val="0"/>
          <w:sz w:val="22"/>
          <w:lang w:val="zh-CN" w:bidi="zh-CN"/>
        </w:rPr>
      </w:pPr>
    </w:p>
    <w:p>
      <w:pPr>
        <w:pStyle w:val="2"/>
        <w:ind w:firstLine="440"/>
        <w:rPr>
          <w:rFonts w:ascii="宋体" w:hAnsi="宋体" w:cs="宋体"/>
          <w:kern w:val="0"/>
          <w:sz w:val="22"/>
          <w:lang w:val="zh-CN" w:bidi="zh-CN"/>
        </w:rPr>
      </w:pPr>
    </w:p>
    <w:p>
      <w:pPr>
        <w:pStyle w:val="2"/>
        <w:ind w:firstLine="440"/>
        <w:rPr>
          <w:rFonts w:ascii="宋体" w:hAnsi="宋体" w:cs="宋体"/>
          <w:kern w:val="0"/>
          <w:sz w:val="22"/>
          <w:lang w:val="zh-CN" w:bidi="zh-CN"/>
        </w:rPr>
      </w:pP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（第二部分） 标准条件（略）</w:t>
      </w:r>
    </w:p>
    <w:p>
      <w:pPr>
        <w:autoSpaceDE w:val="0"/>
        <w:autoSpaceDN w:val="0"/>
        <w:spacing w:line="360" w:lineRule="auto"/>
        <w:ind w:left="107" w:right="100"/>
        <w:rPr>
          <w:rFonts w:ascii="宋体" w:hAnsi="宋体" w:cs="宋体"/>
          <w:kern w:val="0"/>
          <w:sz w:val="22"/>
          <w:lang w:val="zh-CN" w:bidi="zh-CN"/>
        </w:rPr>
      </w:pPr>
      <w:bookmarkStart w:id="44" w:name="_Toc180474614"/>
      <w:r>
        <w:rPr>
          <w:rFonts w:hint="eastAsia" w:ascii="宋体" w:hAnsi="宋体" w:cs="宋体"/>
          <w:kern w:val="0"/>
          <w:sz w:val="22"/>
          <w:lang w:val="zh-CN" w:bidi="zh-CN"/>
        </w:rPr>
        <w:t>（第三部分）  专用条款</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第二条本合同使用的法律及监理依据：</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1、国家、地方现行的工程施工规范及质量验评标准；</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2、本工程设计图纸及有关的设计条件；</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3、与施工承包单位签订的施工合同及有关协议；</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4、工程建设监理规定；</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第四条  监理范围和监理工作内容：</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监理范围：</w:t>
      </w:r>
      <w:r>
        <w:rPr>
          <w:rFonts w:hint="eastAsia" w:ascii="宋体" w:hAnsi="宋体" w:cs="宋体"/>
          <w:kern w:val="0"/>
          <w:sz w:val="22"/>
          <w:lang w:val="en-US" w:bidi="zh-CN"/>
        </w:rPr>
        <w:t>招标</w:t>
      </w:r>
      <w:r>
        <w:rPr>
          <w:rFonts w:hint="eastAsia" w:ascii="宋体" w:hAnsi="宋体" w:cs="宋体"/>
          <w:kern w:val="0"/>
          <w:sz w:val="22"/>
          <w:lang w:val="zh-CN" w:bidi="zh-CN"/>
        </w:rPr>
        <w:t xml:space="preserve">文件规定的所有内容的监理工作。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监理工作内容：负责本工程的质量、进度、安全、文明和投资的控制，组织协调、合同管理等工作。</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第九条  外部条件包括：</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1、具备政府各部门的有关工程的批文、批件及许可证；</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2、工程建设现场的所有外层外部关系，诸如：规划、消防、环保、电讯、电力、市政、治安、园林、城管、交警等部门，应由委托人负责协调，以满足工程施工和开展监理工作所需提供的外部条件；</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3、涉及工程建设现场的外层关系（设计、质量监督、质量检测、安全监督、施工、材料供应等）由监理机构负责组织协调或共同负责。</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第十条  委托人应提供的工程资料及提供时间；</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1、一套设计图纸；</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2、本工程施工招标书，响应文件及施工合同；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3、本工程的工程量清单。上述资料在工程开工前七天内提供给监理单位。</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第十一条 委托人应在10天内对监理人书面提交并要求作出决定的事宜作出书面答复；</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第十二条  委托人的常驻代表为采购人代表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第十五条  生活设施、交通工具、通讯工具以及各种测量仪器、试验仪器均有监理单位自备，其费用计入监理费报价中；</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第十六条 在监理期间，委托人免费向监理机构提供  /   名工作人员，由总监理工程师安排其工作，凡涉及服务时，此类职员只应从总监理工程师处接受指示。并免费提供 /   名服务人员。监理机构应与此类服务的提供者合作，但不对此类人员及其行为负责。</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第二十六条 监理人在责任期内如果失职，同意按以下办法承担责任，赔偿损失[累计赔偿额不超过监理费报酬总数（扣税）]:赔偿金=直接经济损失</w:t>
      </w:r>
      <w:r>
        <w:rPr>
          <w:rFonts w:hint="eastAsia" w:ascii="宋体" w:hAnsi="宋体" w:cs="宋体"/>
          <w:kern w:val="0"/>
          <w:sz w:val="22"/>
          <w:lang w:val="zh-CN" w:bidi="zh-CN"/>
        </w:rPr>
        <w:sym w:font="Wingdings 2" w:char="F0CD"/>
      </w:r>
      <w:r>
        <w:rPr>
          <w:rFonts w:hint="eastAsia" w:ascii="宋体" w:hAnsi="宋体" w:cs="宋体"/>
          <w:kern w:val="0"/>
          <w:sz w:val="22"/>
          <w:lang w:val="zh-CN" w:bidi="zh-CN"/>
        </w:rPr>
        <w:t>报酬比率（扣除税金）</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第三十九条 </w:t>
      </w:r>
      <w:r>
        <w:rPr>
          <w:rFonts w:hint="eastAsia" w:ascii="宋体" w:hAnsi="宋体" w:cs="宋体"/>
          <w:kern w:val="0"/>
          <w:sz w:val="22"/>
          <w:lang w:bidi="zh-CN"/>
        </w:rPr>
        <w:t>监理费用支付</w:t>
      </w:r>
      <w:r>
        <w:rPr>
          <w:rFonts w:hint="eastAsia" w:ascii="宋体" w:hAnsi="宋体" w:cs="宋体"/>
          <w:kern w:val="0"/>
          <w:sz w:val="22"/>
          <w:lang w:val="zh-CN" w:bidi="zh-CN"/>
        </w:rPr>
        <w:t>；</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bidi="zh-CN"/>
        </w:rPr>
        <w:t>1</w:t>
      </w:r>
      <w:r>
        <w:rPr>
          <w:rFonts w:hint="eastAsia" w:ascii="宋体" w:hAnsi="宋体" w:cs="宋体"/>
          <w:kern w:val="0"/>
          <w:sz w:val="22"/>
          <w:lang w:val="zh-CN" w:bidi="zh-CN"/>
        </w:rPr>
        <w:t xml:space="preserve">. </w:t>
      </w:r>
      <w:r>
        <w:rPr>
          <w:rFonts w:hint="eastAsia"/>
        </w:rPr>
        <w:t>每月25号之前申报监理费用，按完成工程量的80％支付监理费；竣工验收合格且审计完成后付至审计额的97％，剩余3％为质保金，一年后无质量问题一次性无息付清。</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bidi="zh-CN"/>
        </w:rPr>
        <w:t>2.</w:t>
      </w:r>
      <w:r>
        <w:rPr>
          <w:rFonts w:hint="eastAsia" w:ascii="宋体" w:hAnsi="宋体" w:cs="宋体"/>
          <w:kern w:val="0"/>
          <w:sz w:val="22"/>
          <w:lang w:val="zh-CN" w:bidi="zh-CN"/>
        </w:rPr>
        <w:t>支付酬金</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正常工作酬金的支付：</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1）本工程预付款: 本项目无预付款。</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2）按照施工工程实际进度，同比例支付监理费用。每次按已支付工程进度款×合同费率计算，支付本期监理费，监理服务期结束后支付余下的监理费（此处监理费是按经审计单位审核确认的施工结算造价为计费额并按规定计算得出）。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第四十五条 奖励办法：无</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第四十九条  本合同在履行过程中发生的争议，由双方当事人协调解决、协商不成的按下列第   种方式解决：</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（一）提交</w:t>
      </w:r>
      <w:r>
        <w:rPr>
          <w:rFonts w:hint="eastAsia" w:ascii="宋体" w:hAnsi="宋体" w:cs="宋体"/>
          <w:kern w:val="0"/>
          <w:sz w:val="22"/>
          <w:lang w:bidi="zh-CN"/>
        </w:rPr>
        <w:t>界首</w:t>
      </w:r>
      <w:r>
        <w:rPr>
          <w:rFonts w:hint="eastAsia" w:ascii="宋体" w:hAnsi="宋体" w:cs="宋体"/>
          <w:kern w:val="0"/>
          <w:sz w:val="22"/>
          <w:lang w:val="zh-CN" w:bidi="zh-CN"/>
        </w:rPr>
        <w:t>市仲裁委员会仲裁；</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（二）依法向</w:t>
      </w:r>
      <w:r>
        <w:rPr>
          <w:rFonts w:hint="eastAsia" w:ascii="宋体" w:hAnsi="宋体" w:cs="宋体"/>
          <w:kern w:val="0"/>
          <w:sz w:val="22"/>
          <w:lang w:bidi="zh-CN"/>
        </w:rPr>
        <w:t>界首市</w:t>
      </w:r>
      <w:r>
        <w:rPr>
          <w:rFonts w:hint="eastAsia" w:ascii="宋体" w:hAnsi="宋体" w:cs="宋体"/>
          <w:kern w:val="0"/>
          <w:sz w:val="22"/>
          <w:lang w:val="zh-CN" w:bidi="zh-CN"/>
        </w:rPr>
        <w:t>人民法院起诉。</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第五十四条  监理人在投标时承诺的监理工程师及驻现场监理机构的人员和主要检测设备必须按工程进度及时到位，监理人员必须在岗，不得擅自更换。总监理工程师月到位率低于投标时的承诺，或监理人员发生违纪违法等严重失职行为的，或工程出现重大事故的，或委托人要求更换有失职行为（如施工方不按技术规范施工而监理人员不予阻止）的监理人员，监理人不予合作的，委托人有权解除合同并没收全部履约保证金（如有），同时监理人赔偿委托人由此造成的全部损失；总监理工程师或其他监理人员月到位天数达不到响应文件承诺，每人每天按规定扣除监理费。监理人擅自解除本合同或者停止履行监理职责的，或者本工程验收不合格的，则委托人有权没收全部履约保证金（如有）。</w:t>
      </w:r>
    </w:p>
    <w:bookmarkEnd w:id="44"/>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附加协议条款：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一、监理人未完成委托人委托的监理业务，应酌情扣减监理费。若由于监理人的错误或过失，给委托人造成损失的，应根据错误或过失的性质和所造成损失的程度，承担赔偿责任。其赔偿金总额不超过监理费总价(扣除税金)。</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二、监理人应安排专职造价人员负责本工程的投资管理工作。</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三、监理人应按合同中拟定的经委托人认可的人员名单派监理人员到位上岗。除非委托人另有要求或其它特殊原因，监理人不得以任何理由在人员进场过程中调换总监和专业监理工程师等主要监理人员。否则将被视为监理人违约。</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若因特殊情况或实际需要必须调换者，监理人必须事先向委托人提供申请材料并取得委托人及管理部门的书面批准以后，才能派替换的监理人员进场，并处罚如下：总监更换一次罚款该项目监理费的</w:t>
      </w:r>
      <w:r>
        <w:rPr>
          <w:rFonts w:hint="eastAsia" w:ascii="宋体" w:hAnsi="宋体" w:cs="宋体"/>
          <w:kern w:val="0"/>
          <w:sz w:val="22"/>
          <w:lang w:bidi="zh-CN"/>
        </w:rPr>
        <w:t>5</w:t>
      </w:r>
      <w:r>
        <w:rPr>
          <w:rFonts w:hint="eastAsia" w:ascii="宋体" w:hAnsi="宋体" w:cs="宋体"/>
          <w:kern w:val="0"/>
          <w:sz w:val="22"/>
          <w:lang w:val="zh-CN" w:bidi="zh-CN"/>
        </w:rPr>
        <w:t>%，专业监理人员更换一人，罚款该项目监理费的</w:t>
      </w:r>
      <w:r>
        <w:rPr>
          <w:rFonts w:hint="eastAsia" w:ascii="宋体" w:hAnsi="宋体" w:cs="宋体"/>
          <w:kern w:val="0"/>
          <w:sz w:val="22"/>
          <w:lang w:bidi="zh-CN"/>
        </w:rPr>
        <w:t>2</w:t>
      </w:r>
      <w:r>
        <w:rPr>
          <w:rFonts w:hint="eastAsia" w:ascii="宋体" w:hAnsi="宋体" w:cs="宋体"/>
          <w:kern w:val="0"/>
          <w:sz w:val="22"/>
          <w:lang w:val="zh-CN" w:bidi="zh-CN"/>
        </w:rPr>
        <w:t>%，监理员更换一次罚款该项目监理费的</w:t>
      </w:r>
      <w:r>
        <w:rPr>
          <w:rFonts w:hint="eastAsia" w:ascii="宋体" w:hAnsi="宋体" w:cs="宋体"/>
          <w:kern w:val="0"/>
          <w:sz w:val="22"/>
          <w:lang w:bidi="zh-CN"/>
        </w:rPr>
        <w:t>1</w:t>
      </w:r>
      <w:r>
        <w:rPr>
          <w:rFonts w:hint="eastAsia" w:ascii="宋体" w:hAnsi="宋体" w:cs="宋体"/>
          <w:kern w:val="0"/>
          <w:sz w:val="22"/>
          <w:lang w:val="zh-CN" w:bidi="zh-CN"/>
        </w:rPr>
        <w:t>%。</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 四、未经委托人同意，监理人擅自更换监理人员时，将被视为监理人违约。情节严重的，委托人将同时没收部分或全部履约保证金（如有）。</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五、如监理人员的更换造成损失的应当全额赔偿，委托人可以单方面终止本监理合同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六、在监理工作范围内，监理人应对其工作人员进行安全教育并实行人身意外事故保险。监理人员的任何损伤与委托人无关。</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七、总监理工程师、专业监理工程师的月到位天数不得少22天，实际到位天数每少一天，总监理工程师按</w:t>
      </w:r>
      <w:r>
        <w:rPr>
          <w:rFonts w:hint="eastAsia" w:ascii="宋体" w:hAnsi="宋体" w:cs="宋体"/>
          <w:kern w:val="0"/>
          <w:sz w:val="22"/>
          <w:lang w:bidi="zh-CN"/>
        </w:rPr>
        <w:t>2000</w:t>
      </w:r>
      <w:r>
        <w:rPr>
          <w:rFonts w:hint="eastAsia" w:ascii="宋体" w:hAnsi="宋体" w:cs="宋体"/>
          <w:kern w:val="0"/>
          <w:sz w:val="22"/>
          <w:lang w:val="zh-CN" w:bidi="zh-CN"/>
        </w:rPr>
        <w:t>元/人.天扣罚，专业监理工程师、监理员按</w:t>
      </w:r>
      <w:r>
        <w:rPr>
          <w:rFonts w:hint="eastAsia" w:ascii="宋体" w:hAnsi="宋体" w:cs="宋体"/>
          <w:kern w:val="0"/>
          <w:sz w:val="22"/>
          <w:lang w:bidi="zh-CN"/>
        </w:rPr>
        <w:t>1000</w:t>
      </w:r>
      <w:r>
        <w:rPr>
          <w:rFonts w:hint="eastAsia" w:ascii="宋体" w:hAnsi="宋体" w:cs="宋体"/>
          <w:kern w:val="0"/>
          <w:sz w:val="22"/>
          <w:lang w:val="zh-CN" w:bidi="zh-CN"/>
        </w:rPr>
        <w:t>元/人.天扣罚。上述所支付款项（金额）在支付监理费时扣除。</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八、总监理工程师和专业工程师不能同时离岗。</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九、加强工程投资管理工作</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监理单位应把好工程计量、签证关；加强对现场提交的计量、索赔等资料（如形象进度、验收报告、单价分析、工程变更、签证等）的真实性、有效性的检查、核实，保证送达采购人的计量、索赔资料的真实、齐全、有效。</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2、监理单位应把好工程月度产值计量关；监理工程师应对施工承包单位提交的工程量计算表要根据图纸逐一认真核查。计量的项目必须按技术规范和采购人批准的施工图纸有关要求和规定完成全部工作。计量工作中，应根据施工合同、施工定额、计价办法等，逐一确定工程量的计算规则是否合乎标准，是否有重报的现象，确认其工程量的申报是否有效、合格。</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3、监理单位应把好工程调整预算及竣工决算审核关；应认真组织工程造价人员严格按照合同原则对施工承包单位沿用的单价尤其是新增项目综合单价进行仔细审核，建立相应的单价、合价台帐，对材料、设备的质量严格把关，对“选材定价”特别是对无信息价及特殊、专业性的材料的选定及价格应提出意见，并根据需要，参与其选厂定价。要认真审核清单内的项目单价、合价，对于清单外的项目单价更要严格审查，并按规范重新计算复核。</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4、监理人在监理过程中应发挥主观能动性，在满足工程质量和进度的前提下提出合理化建议，节约工程投资。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5、监理单位在月度工程量产值审核、工程联系单签证、工程变更预算审核以及工程竣工决算审核过程中，未能按甲方时间进度要求及时完成审核工作的；对于施工单位上报的工程月度工程量产值中存在的虚报、瞒报行为未能及时发现及纠正，可能造成建设资金流失的；对于工程变更预算及竣工决算中清单栏目单处、单项造价在壹万元及以上的工程量选项费用或变更后应扣减费用，明显因工作粗疏未能及时予以核减的；对于工程变更预算，初审误差率大于15%的；对于施工方上报的联系单以及工程竣工决算资料（包括竣工图等）中出现的较明显事实不符未能及时发现及纠正的，一经查实一次，扣除合同价的10%。</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十、 违约责任</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1、监理人未能在合同约定的期限内提交各项监理资料，每逾期一日，向委托人支付500元违约金，累计不超过监理合同价的5%。因此给委托人造成损失的，由监理人赔偿损失，逾期 15 日以上，委托人有权解除合同并保留进一步追究监理人法律责任的权利；</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2、 除提交监理资料外，监理人怠于履行合同约定的其他监理工作，向委托人支付违约金每次1000元，累计不超过</w:t>
      </w:r>
      <w:r>
        <w:rPr>
          <w:rFonts w:hint="eastAsia" w:ascii="宋体" w:hAnsi="宋体" w:cs="宋体"/>
          <w:kern w:val="0"/>
          <w:sz w:val="22"/>
          <w:lang w:bidi="zh-CN"/>
        </w:rPr>
        <w:t>1</w:t>
      </w:r>
      <w:r>
        <w:rPr>
          <w:rFonts w:hint="eastAsia" w:ascii="宋体" w:hAnsi="宋体" w:cs="宋体"/>
          <w:kern w:val="0"/>
          <w:sz w:val="22"/>
          <w:lang w:val="zh-CN" w:bidi="zh-CN"/>
        </w:rPr>
        <w:t>0000元。因此给委托人造成损失的，由监理人赔偿损失；</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3、 监理人或监理工程师与第三人串通损害委托人利益的，向委托人支付违约金每次10000元。因此给委托人造成损失的，由监理人赔偿损失并保留进一步追究监理人法律责任的权利；</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4、总监理工程师或项目部监理人员到岗率不足，视作违约，监理人应对有此造成的质量问题和工期延误承担监理违约责任，监理服务期延长不予调整监理费。</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5、监理人违约造成委托人损失的，赔偿损失范围包括但不限于因监理人违约致使委托人向第三人承担违约责任、增加的投资成本、另行委托监理单位增加的费用、委托人为实现法律救济发生的律师费、诉讼费（仲裁费）等。</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6、委托人有权从应付监理费中扣除监理人应承担的违约金、损失赔偿款。</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7、监理人未完成委托人委托的监理业务，应酌情扣减监理费。若由于监理人的错误或过失，给委托人造成损失的，应根据错误或过失的性质和所造成损失的程度，承担赔偿责任。其赔偿金额总价不超过监理费总价（扣除税金）。</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8、监理人应安排专职造价人员负责本工程的投资管理工程。</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9、监理人应按合同中拟定的委托人认可的人员名单派监理人员到岗上位。除非委托人另有其他要求或其它特殊原因，监理人不得以任何理由在人员进场过程中调换总监和专业监理工程师等主要监理人员。否则将被视为监理人违约。若因特殊情况或实际需要必须调换者，监理人必须事先向委托人提供申请材料并取得委托人及管理部门的书面批准以后，才能派替换的监理人员进场，并处罚如下：总监更换一次需向采购人支付违约金</w:t>
      </w:r>
      <w:r>
        <w:rPr>
          <w:rFonts w:hint="eastAsia" w:ascii="宋体" w:hAnsi="宋体" w:cs="宋体"/>
          <w:kern w:val="0"/>
          <w:sz w:val="22"/>
          <w:lang w:bidi="zh-CN"/>
        </w:rPr>
        <w:t>2</w:t>
      </w:r>
      <w:r>
        <w:rPr>
          <w:rFonts w:hint="eastAsia" w:ascii="宋体" w:hAnsi="宋体" w:cs="宋体"/>
          <w:kern w:val="0"/>
          <w:sz w:val="22"/>
          <w:lang w:val="zh-CN" w:bidi="zh-CN"/>
        </w:rPr>
        <w:t>万元，专业监理人员及安全工程师更换一人，需向采购人支付违约金</w:t>
      </w:r>
      <w:r>
        <w:rPr>
          <w:rFonts w:hint="eastAsia" w:ascii="宋体" w:hAnsi="宋体" w:cs="宋体"/>
          <w:kern w:val="0"/>
          <w:sz w:val="22"/>
          <w:lang w:bidi="zh-CN"/>
        </w:rPr>
        <w:t>5000</w:t>
      </w:r>
      <w:r>
        <w:rPr>
          <w:rFonts w:hint="eastAsia" w:ascii="宋体" w:hAnsi="宋体" w:cs="宋体"/>
          <w:kern w:val="0"/>
          <w:sz w:val="22"/>
          <w:lang w:val="zh-CN" w:bidi="zh-CN"/>
        </w:rPr>
        <w:t>元，监理员更换一次需向采购人支付违约金</w:t>
      </w:r>
      <w:r>
        <w:rPr>
          <w:rFonts w:hint="eastAsia" w:ascii="宋体" w:hAnsi="宋体" w:cs="宋体"/>
          <w:kern w:val="0"/>
          <w:sz w:val="22"/>
          <w:lang w:bidi="zh-CN"/>
        </w:rPr>
        <w:t>2000</w:t>
      </w:r>
      <w:r>
        <w:rPr>
          <w:rFonts w:hint="eastAsia" w:ascii="宋体" w:hAnsi="宋体" w:cs="宋体"/>
          <w:kern w:val="0"/>
          <w:sz w:val="22"/>
          <w:lang w:val="zh-CN" w:bidi="zh-CN"/>
        </w:rPr>
        <w:t>元。</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10、未经委托人同意，监理人擅自更换监理人员时，将被视为监理人违约。情节严重的，委托人将同时没收部分或全部履约保证金（如有），直接解除合同，给采购人造成损失的，应全额补偿。</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11、如监理人员的更换造成损失的应当全额赔偿，委托人可以单方面终止本监理合同。</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12、在监理工作范围内，监理人应对其工作人员进行安全教育并实行人身意外事故保险。监理人员的任何损失与委托人无关。</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13、监理人应督促检查施工单位是否严格按施工操作规程作业，如施工单位出现严重违反施工操作规程，而出现重大伤亡事故的，每出现一次扣罚监理人 元。</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14、非采购人和不可抗力原因，而施工单位和监理单位对进度控制不严造成未如期完工的，每延误一天扣罚监理人  元。</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十一条、监理单位委派的工程师</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姓名：                       职务:       总监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发包人委托的职权:  按监理合同范围，包括发布开工令、审批施工组织设计和施工方案、审核工程量和工程的变更、签发工程款支付凭证、提出监理建议和履行合同规定的其它权力等。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 xml:space="preserve">需要取得发包人批准才能行使的职权：  按监理合同范围，包括（1）涉及全局工程进度的工程暂停；（2）设计变更涉及工程投资或承包合同造价的变化；（3）索赔的支付；（4）涉及改变原设计意图或影响设计结构的补充图纸和指标等。     </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十二条、补充条款</w:t>
      </w:r>
    </w:p>
    <w:p>
      <w:pPr>
        <w:autoSpaceDE w:val="0"/>
        <w:autoSpaceDN w:val="0"/>
        <w:spacing w:line="360" w:lineRule="auto"/>
        <w:ind w:left="107" w:right="100"/>
        <w:rPr>
          <w:rFonts w:ascii="宋体" w:hAnsi="宋体" w:cs="宋体"/>
          <w:kern w:val="0"/>
          <w:sz w:val="22"/>
          <w:lang w:val="zh-CN" w:bidi="zh-CN"/>
        </w:rPr>
      </w:pPr>
      <w:r>
        <w:rPr>
          <w:rFonts w:hint="eastAsia" w:ascii="宋体" w:hAnsi="宋体" w:cs="宋体"/>
          <w:kern w:val="0"/>
          <w:sz w:val="22"/>
          <w:lang w:val="zh-CN" w:bidi="zh-CN"/>
        </w:rPr>
        <w:t>其他未尽事宜有承发包双方签订合同时具体协商，协商后的内容写入监理合同内。</w:t>
      </w:r>
    </w:p>
    <w:p>
      <w:pPr>
        <w:autoSpaceDE w:val="0"/>
        <w:autoSpaceDN w:val="0"/>
        <w:spacing w:line="360" w:lineRule="auto"/>
        <w:ind w:left="107" w:right="100"/>
        <w:rPr>
          <w:rFonts w:ascii="宋体" w:hAnsi="宋体" w:cs="宋体"/>
          <w:kern w:val="0"/>
          <w:sz w:val="22"/>
          <w:lang w:val="zh-CN" w:bidi="zh-CN"/>
        </w:rPr>
      </w:pPr>
    </w:p>
    <w:p>
      <w:pPr>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2"/>
        <w:ind w:firstLine="640"/>
        <w:rPr>
          <w:rFonts w:ascii="宋体" w:hAnsi="宋体"/>
          <w:sz w:val="32"/>
          <w:szCs w:val="32"/>
        </w:rPr>
      </w:pPr>
    </w:p>
    <w:p>
      <w:pPr>
        <w:pStyle w:val="3"/>
        <w:tabs>
          <w:tab w:val="left" w:pos="1125"/>
        </w:tabs>
        <w:spacing w:before="158"/>
        <w:ind w:right="136" w:firstLine="2891" w:firstLineChars="900"/>
        <w:rPr>
          <w:rFonts w:ascii="宋体" w:hAnsi="宋体"/>
          <w:sz w:val="32"/>
          <w:szCs w:val="32"/>
        </w:rPr>
      </w:pPr>
      <w:r>
        <w:rPr>
          <w:rFonts w:ascii="宋体" w:hAnsi="宋体"/>
          <w:sz w:val="32"/>
          <w:szCs w:val="32"/>
        </w:rPr>
        <w:t>第六章</w:t>
      </w:r>
      <w:r>
        <w:rPr>
          <w:rFonts w:ascii="宋体" w:hAnsi="宋体"/>
          <w:sz w:val="32"/>
          <w:szCs w:val="32"/>
        </w:rPr>
        <w:tab/>
      </w:r>
      <w:r>
        <w:rPr>
          <w:rFonts w:hint="eastAsia" w:ascii="宋体" w:hAnsi="宋体"/>
          <w:sz w:val="32"/>
          <w:szCs w:val="32"/>
        </w:rPr>
        <w:t xml:space="preserve"> </w:t>
      </w:r>
      <w:r>
        <w:rPr>
          <w:rFonts w:ascii="宋体" w:hAnsi="宋体"/>
          <w:sz w:val="32"/>
          <w:szCs w:val="32"/>
        </w:rPr>
        <w:t>响应文件格式</w:t>
      </w:r>
    </w:p>
    <w:p>
      <w:pPr>
        <w:jc w:val="center"/>
        <w:rPr>
          <w:rFonts w:ascii="宋体" w:hAnsi="宋体" w:cs="Arial"/>
          <w:sz w:val="28"/>
          <w:szCs w:val="28"/>
        </w:rPr>
      </w:pPr>
      <w:bookmarkStart w:id="45" w:name="_Toc32338_WPSOffice_Level1"/>
      <w:bookmarkStart w:id="46" w:name="_Toc13756_WPSOffice_Level1"/>
      <w:r>
        <w:rPr>
          <w:rFonts w:hint="eastAsia" w:ascii="宋体" w:hAnsi="宋体"/>
          <w:sz w:val="28"/>
          <w:szCs w:val="28"/>
          <w:u w:val="single"/>
        </w:rPr>
        <w:t>（项目名称）</w:t>
      </w:r>
      <w:bookmarkEnd w:id="45"/>
      <w:bookmarkEnd w:id="46"/>
    </w:p>
    <w:p>
      <w:pPr>
        <w:jc w:val="center"/>
        <w:rPr>
          <w:rFonts w:ascii="宋体" w:hAnsi="宋体" w:cs="Arial"/>
          <w:b/>
          <w:sz w:val="28"/>
          <w:szCs w:val="28"/>
        </w:rPr>
      </w:pPr>
      <w:bookmarkStart w:id="47" w:name="_Hlk450146333"/>
    </w:p>
    <w:p>
      <w:pPr>
        <w:jc w:val="center"/>
        <w:rPr>
          <w:rFonts w:ascii="宋体" w:hAnsi="宋体" w:cs="Arial"/>
          <w:sz w:val="28"/>
          <w:szCs w:val="28"/>
        </w:rPr>
      </w:pPr>
      <w:bookmarkStart w:id="48" w:name="_Toc361_WPSOffice_Level1"/>
      <w:bookmarkStart w:id="49" w:name="_Toc18887_WPSOffice_Level1"/>
      <w:r>
        <w:rPr>
          <w:rFonts w:hint="eastAsia" w:ascii="宋体" w:hAnsi="宋体" w:cs="Arial"/>
          <w:sz w:val="28"/>
          <w:szCs w:val="28"/>
        </w:rPr>
        <w:t xml:space="preserve">响 应 </w:t>
      </w:r>
      <w:bookmarkEnd w:id="47"/>
      <w:r>
        <w:rPr>
          <w:rFonts w:hint="eastAsia" w:ascii="宋体" w:hAnsi="宋体" w:cs="Arial"/>
          <w:sz w:val="28"/>
          <w:szCs w:val="28"/>
        </w:rPr>
        <w:t>文 件</w:t>
      </w:r>
      <w:bookmarkEnd w:id="48"/>
      <w:bookmarkEnd w:id="49"/>
    </w:p>
    <w:p>
      <w:pPr>
        <w:rPr>
          <w:rFonts w:ascii="宋体" w:hAnsi="宋体" w:cs="Arial"/>
          <w:sz w:val="28"/>
          <w:szCs w:val="28"/>
        </w:rPr>
      </w:pPr>
      <w:r>
        <w:rPr>
          <w:rFonts w:hint="eastAsia" w:ascii="宋体" w:hAnsi="宋体" w:cs="Arial"/>
          <w:sz w:val="28"/>
          <w:szCs w:val="28"/>
        </w:rPr>
        <w:t xml:space="preserve">               </w:t>
      </w:r>
    </w:p>
    <w:p>
      <w:pPr>
        <w:ind w:firstLine="1120" w:firstLineChars="400"/>
        <w:rPr>
          <w:rFonts w:ascii="宋体" w:hAnsi="宋体" w:cs="Arial"/>
          <w:sz w:val="28"/>
          <w:szCs w:val="28"/>
        </w:rPr>
      </w:pPr>
    </w:p>
    <w:p>
      <w:pPr>
        <w:pStyle w:val="19"/>
        <w:ind w:firstLine="560"/>
        <w:rPr>
          <w:rFonts w:ascii="宋体" w:hAnsi="宋体" w:cs="Arial"/>
          <w:sz w:val="28"/>
          <w:szCs w:val="28"/>
        </w:rPr>
      </w:pPr>
    </w:p>
    <w:p>
      <w:pPr>
        <w:pStyle w:val="19"/>
        <w:ind w:firstLine="560"/>
        <w:rPr>
          <w:rFonts w:ascii="宋体" w:hAnsi="宋体" w:cs="Arial"/>
          <w:sz w:val="28"/>
          <w:szCs w:val="28"/>
        </w:rPr>
      </w:pPr>
    </w:p>
    <w:p>
      <w:pPr>
        <w:pStyle w:val="19"/>
        <w:ind w:firstLine="560"/>
        <w:rPr>
          <w:rFonts w:ascii="宋体" w:hAnsi="宋体" w:cs="Arial"/>
          <w:sz w:val="28"/>
          <w:szCs w:val="28"/>
        </w:rPr>
      </w:pPr>
    </w:p>
    <w:p>
      <w:pPr>
        <w:pStyle w:val="19"/>
        <w:ind w:firstLine="560"/>
        <w:rPr>
          <w:rFonts w:ascii="宋体" w:hAnsi="宋体" w:cs="Arial"/>
          <w:sz w:val="28"/>
          <w:szCs w:val="28"/>
        </w:rPr>
      </w:pPr>
    </w:p>
    <w:p>
      <w:pPr>
        <w:pStyle w:val="19"/>
        <w:ind w:firstLine="560"/>
        <w:rPr>
          <w:rFonts w:ascii="宋体" w:hAnsi="宋体" w:cs="Arial"/>
          <w:sz w:val="28"/>
          <w:szCs w:val="28"/>
        </w:rPr>
      </w:pPr>
    </w:p>
    <w:p>
      <w:pPr>
        <w:jc w:val="center"/>
        <w:rPr>
          <w:rFonts w:ascii="宋体" w:hAnsi="宋体" w:cs="Arial"/>
          <w:sz w:val="28"/>
          <w:szCs w:val="28"/>
        </w:rPr>
      </w:pPr>
    </w:p>
    <w:p>
      <w:pPr>
        <w:ind w:firstLine="1120" w:firstLineChars="400"/>
        <w:rPr>
          <w:rFonts w:ascii="宋体" w:hAnsi="宋体"/>
          <w:sz w:val="28"/>
          <w:szCs w:val="28"/>
          <w:u w:val="single"/>
        </w:rPr>
      </w:pPr>
      <w:bookmarkStart w:id="50" w:name="_Toc13389_WPSOffice_Level1"/>
      <w:bookmarkStart w:id="51" w:name="_Toc4204_WPSOffice_Level1"/>
      <w:r>
        <w:rPr>
          <w:rFonts w:hint="eastAsia" w:ascii="宋体" w:hAnsi="宋体" w:cs="Arial"/>
          <w:sz w:val="28"/>
          <w:szCs w:val="28"/>
        </w:rPr>
        <w:t>采购人：</w:t>
      </w:r>
      <w:bookmarkEnd w:id="50"/>
      <w:bookmarkEnd w:id="51"/>
      <w:r>
        <w:rPr>
          <w:rFonts w:hint="eastAsia" w:ascii="宋体" w:hAnsi="宋体"/>
          <w:sz w:val="28"/>
          <w:szCs w:val="28"/>
          <w:u w:val="single"/>
        </w:rPr>
        <w:t xml:space="preserve">                               </w:t>
      </w:r>
    </w:p>
    <w:p>
      <w:pPr>
        <w:ind w:firstLine="1540" w:firstLineChars="550"/>
        <w:rPr>
          <w:rFonts w:ascii="宋体" w:hAnsi="宋体" w:cs="Arial"/>
          <w:sz w:val="28"/>
          <w:szCs w:val="28"/>
        </w:rPr>
      </w:pPr>
    </w:p>
    <w:p>
      <w:pPr>
        <w:spacing w:line="460" w:lineRule="exact"/>
        <w:ind w:firstLine="1120" w:firstLineChars="400"/>
        <w:rPr>
          <w:rFonts w:ascii="宋体" w:hAnsi="宋体"/>
          <w:sz w:val="28"/>
          <w:szCs w:val="28"/>
        </w:rPr>
      </w:pPr>
      <w:bookmarkStart w:id="52" w:name="_Toc23736_WPSOffice_Level1"/>
      <w:bookmarkStart w:id="53" w:name="_Toc22977_WPSOffice_Level1"/>
      <w:r>
        <w:rPr>
          <w:rFonts w:hint="eastAsia" w:ascii="宋体" w:hAnsi="宋体"/>
          <w:sz w:val="28"/>
          <w:szCs w:val="28"/>
        </w:rPr>
        <w:t>供应商（盖章）：</w:t>
      </w:r>
      <w:r>
        <w:rPr>
          <w:rFonts w:hint="eastAsia" w:ascii="宋体" w:hAnsi="宋体"/>
          <w:sz w:val="28"/>
          <w:szCs w:val="28"/>
          <w:u w:val="single"/>
        </w:rPr>
        <w:t xml:space="preserve">                             </w:t>
      </w:r>
      <w:bookmarkEnd w:id="52"/>
      <w:bookmarkEnd w:id="53"/>
    </w:p>
    <w:p>
      <w:pPr>
        <w:spacing w:line="460" w:lineRule="exact"/>
        <w:ind w:firstLine="854" w:firstLineChars="305"/>
        <w:rPr>
          <w:rFonts w:ascii="宋体" w:hAnsi="宋体"/>
          <w:sz w:val="28"/>
          <w:szCs w:val="28"/>
          <w:u w:val="single"/>
        </w:rPr>
      </w:pPr>
    </w:p>
    <w:p>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54" w:name="_Toc22449_WPSOffice_Level1"/>
      <w:bookmarkStart w:id="55" w:name="_Toc7448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54"/>
      <w:bookmarkEnd w:id="55"/>
    </w:p>
    <w:p>
      <w:pPr>
        <w:spacing w:line="460" w:lineRule="exact"/>
        <w:rPr>
          <w:rFonts w:ascii="宋体" w:hAnsi="宋体"/>
          <w:sz w:val="28"/>
          <w:szCs w:val="28"/>
        </w:rPr>
      </w:pPr>
    </w:p>
    <w:p>
      <w:pPr>
        <w:spacing w:line="460" w:lineRule="exact"/>
        <w:ind w:firstLine="435"/>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bookmarkStart w:id="56" w:name="_Toc11712_WPSOffice_Level2"/>
      <w:bookmarkStart w:id="57" w:name="_Toc17804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56"/>
      <w:bookmarkEnd w:id="57"/>
    </w:p>
    <w:p>
      <w:pPr>
        <w:tabs>
          <w:tab w:val="left" w:pos="645"/>
          <w:tab w:val="left" w:pos="1286"/>
          <w:tab w:val="left" w:pos="1929"/>
        </w:tabs>
        <w:spacing w:before="54"/>
        <w:ind w:right="135"/>
        <w:jc w:val="center"/>
        <w:rPr>
          <w:rFonts w:ascii="宋体" w:hAnsi="宋体"/>
          <w:b/>
          <w:sz w:val="28"/>
          <w:szCs w:val="28"/>
        </w:rPr>
      </w:pPr>
    </w:p>
    <w:p>
      <w:pPr>
        <w:jc w:val="center"/>
        <w:rPr>
          <w:rFonts w:ascii="宋体" w:hAnsi="宋体"/>
          <w:sz w:val="28"/>
          <w:szCs w:val="28"/>
        </w:rPr>
        <w:sectPr>
          <w:footerReference r:id="rId3" w:type="default"/>
          <w:pgSz w:w="11910" w:h="16840"/>
          <w:pgMar w:top="1400" w:right="1440" w:bottom="1220" w:left="1580" w:header="877" w:footer="1033" w:gutter="0"/>
          <w:cols w:space="720" w:num="1"/>
        </w:sectPr>
      </w:pPr>
    </w:p>
    <w:p>
      <w:pPr>
        <w:jc w:val="center"/>
        <w:outlineLvl w:val="2"/>
        <w:rPr>
          <w:b/>
          <w:sz w:val="28"/>
          <w:szCs w:val="28"/>
        </w:rPr>
      </w:pPr>
      <w:r>
        <w:rPr>
          <w:b/>
          <w:sz w:val="28"/>
          <w:szCs w:val="28"/>
        </w:rPr>
        <w:t>一、报价表格式</w:t>
      </w:r>
    </w:p>
    <w:p>
      <w:pPr>
        <w:autoSpaceDE w:val="0"/>
        <w:autoSpaceDN w:val="0"/>
        <w:spacing w:before="240" w:beforeLines="100" w:line="360" w:lineRule="auto"/>
        <w:ind w:left="82" w:leftChars="39" w:firstLine="211" w:firstLineChars="100"/>
        <w:jc w:val="left"/>
        <w:outlineLvl w:val="3"/>
        <w:rPr>
          <w:rFonts w:ascii="宋体" w:hAnsi="宋体" w:cs="宋体"/>
          <w:b/>
          <w:kern w:val="0"/>
          <w:lang w:val="zh-CN" w:bidi="zh-CN"/>
        </w:rPr>
      </w:pPr>
      <w:r>
        <w:rPr>
          <w:rFonts w:hint="eastAsia" w:ascii="宋体" w:hAnsi="宋体" w:cs="宋体"/>
          <w:b/>
          <w:kern w:val="0"/>
          <w:lang w:val="zh-CN" w:bidi="zh-CN"/>
        </w:rPr>
        <w:t xml:space="preserve">1-1 </w:t>
      </w:r>
      <w:r>
        <w:rPr>
          <w:rFonts w:ascii="宋体" w:hAnsi="宋体" w:cs="宋体"/>
          <w:b/>
          <w:kern w:val="0"/>
          <w:lang w:val="zh-CN" w:bidi="zh-CN"/>
        </w:rPr>
        <w:t>报价表</w:t>
      </w:r>
    </w:p>
    <w:p>
      <w:pPr>
        <w:autoSpaceDE w:val="0"/>
        <w:autoSpaceDN w:val="0"/>
        <w:spacing w:before="6" w:line="360" w:lineRule="auto"/>
        <w:jc w:val="left"/>
        <w:rPr>
          <w:rFonts w:ascii="宋体" w:hAnsi="宋体" w:cs="宋体"/>
          <w:b/>
          <w:kern w:val="0"/>
          <w:lang w:val="zh-CN" w:bidi="zh-CN"/>
        </w:rPr>
      </w:pPr>
    </w:p>
    <w:p>
      <w:pPr>
        <w:autoSpaceDE w:val="0"/>
        <w:autoSpaceDN w:val="0"/>
        <w:spacing w:line="360" w:lineRule="auto"/>
        <w:ind w:left="29" w:leftChars="14" w:firstLine="211" w:firstLineChars="100"/>
        <w:jc w:val="left"/>
        <w:rPr>
          <w:rFonts w:ascii="宋体" w:hAnsi="宋体" w:cs="宋体"/>
          <w:b/>
          <w:kern w:val="0"/>
          <w:lang w:val="zh-CN" w:bidi="zh-CN"/>
        </w:rPr>
      </w:pPr>
      <w:r>
        <w:rPr>
          <w:rFonts w:ascii="宋体" w:hAnsi="宋体" w:cs="宋体"/>
          <w:b/>
          <w:kern w:val="0"/>
          <w:lang w:val="zh-CN" w:bidi="zh-CN"/>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pPr>
        <w:pStyle w:val="9"/>
        <w:spacing w:before="1" w:line="360" w:lineRule="auto"/>
        <w:rPr>
          <w:b/>
          <w:sz w:val="21"/>
          <w:szCs w:val="21"/>
        </w:rPr>
      </w:pP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45"/>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45"/>
              <w:spacing w:before="11" w:line="360" w:lineRule="auto"/>
              <w:rPr>
                <w:b/>
                <w:sz w:val="21"/>
                <w:szCs w:val="21"/>
                <w:lang w:eastAsia="en-US"/>
              </w:rPr>
            </w:pPr>
          </w:p>
          <w:p>
            <w:pPr>
              <w:pStyle w:val="45"/>
              <w:spacing w:line="360" w:lineRule="auto"/>
              <w:ind w:left="243" w:right="238"/>
              <w:jc w:val="center"/>
              <w:rPr>
                <w:b/>
                <w:sz w:val="21"/>
                <w:szCs w:val="21"/>
                <w:lang w:eastAsia="en-US"/>
              </w:rPr>
            </w:pPr>
            <w:r>
              <w:rPr>
                <w:b/>
                <w:sz w:val="21"/>
                <w:szCs w:val="21"/>
                <w:lang w:eastAsia="en-US"/>
              </w:rPr>
              <w:t>竞争性磋商范围</w:t>
            </w:r>
          </w:p>
        </w:tc>
        <w:tc>
          <w:tcPr>
            <w:tcW w:w="6064" w:type="dxa"/>
            <w:shd w:val="clear" w:color="auto" w:fill="auto"/>
          </w:tcPr>
          <w:p>
            <w:pPr>
              <w:pStyle w:val="45"/>
              <w:spacing w:before="11" w:line="360" w:lineRule="auto"/>
              <w:rPr>
                <w:b/>
                <w:sz w:val="21"/>
                <w:szCs w:val="21"/>
                <w:lang w:eastAsia="en-US"/>
              </w:rPr>
            </w:pPr>
          </w:p>
          <w:p>
            <w:pPr>
              <w:pStyle w:val="45"/>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45"/>
              <w:spacing w:before="7" w:line="360" w:lineRule="auto"/>
              <w:rPr>
                <w:b/>
                <w:sz w:val="21"/>
                <w:szCs w:val="21"/>
              </w:rPr>
            </w:pPr>
          </w:p>
          <w:p>
            <w:pPr>
              <w:pStyle w:val="45"/>
              <w:spacing w:line="360" w:lineRule="auto"/>
              <w:ind w:left="245" w:right="235"/>
              <w:jc w:val="center"/>
              <w:rPr>
                <w:b/>
                <w:sz w:val="21"/>
                <w:szCs w:val="21"/>
              </w:rPr>
            </w:pPr>
            <w:r>
              <w:rPr>
                <w:b/>
                <w:sz w:val="21"/>
                <w:szCs w:val="21"/>
              </w:rPr>
              <w:t>报价</w:t>
            </w:r>
          </w:p>
          <w:p>
            <w:pPr>
              <w:pStyle w:val="45"/>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45"/>
              <w:spacing w:line="360" w:lineRule="auto"/>
              <w:rPr>
                <w:b/>
                <w:sz w:val="21"/>
                <w:szCs w:val="21"/>
              </w:rPr>
            </w:pPr>
          </w:p>
          <w:p>
            <w:pPr>
              <w:pStyle w:val="45"/>
              <w:spacing w:before="9" w:line="360" w:lineRule="auto"/>
              <w:rPr>
                <w:b/>
                <w:sz w:val="21"/>
                <w:szCs w:val="21"/>
              </w:rPr>
            </w:pPr>
          </w:p>
          <w:p>
            <w:pPr>
              <w:pStyle w:val="45"/>
              <w:tabs>
                <w:tab w:val="left" w:pos="4482"/>
              </w:tabs>
              <w:spacing w:line="360" w:lineRule="auto"/>
              <w:ind w:left="107"/>
              <w:rPr>
                <w:sz w:val="21"/>
                <w:szCs w:val="21"/>
                <w:lang w:val="en-US"/>
              </w:rPr>
            </w:pPr>
            <w:r>
              <w:rPr>
                <w:sz w:val="21"/>
                <w:szCs w:val="21"/>
                <w:lang w:eastAsia="en-US"/>
              </w:rPr>
              <w:t>人民币大写：</w:t>
            </w:r>
            <w:r>
              <w:rPr>
                <w:sz w:val="21"/>
                <w:szCs w:val="21"/>
                <w:u w:val="single"/>
                <w:lang w:eastAsia="en-US"/>
              </w:rPr>
              <w:t xml:space="preserve"> </w:t>
            </w:r>
            <w:r>
              <w:rPr>
                <w:sz w:val="21"/>
                <w:szCs w:val="21"/>
                <w:u w:val="single"/>
                <w:lang w:eastAsia="en-US"/>
              </w:rPr>
              <w:tab/>
            </w:r>
            <w:r>
              <w:rPr>
                <w:rFonts w:hint="eastAsia"/>
                <w:sz w:val="21"/>
                <w:szCs w:val="21"/>
                <w:u w:val="single"/>
                <w:lang w:val="en-US"/>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61" w:type="dxa"/>
            <w:shd w:val="clear" w:color="auto" w:fill="auto"/>
          </w:tcPr>
          <w:p>
            <w:pPr>
              <w:pStyle w:val="45"/>
              <w:spacing w:line="360" w:lineRule="auto"/>
              <w:rPr>
                <w:b/>
                <w:sz w:val="21"/>
                <w:szCs w:val="21"/>
                <w:lang w:eastAsia="en-US"/>
              </w:rPr>
            </w:pPr>
          </w:p>
          <w:p>
            <w:pPr>
              <w:pStyle w:val="45"/>
              <w:spacing w:before="215" w:line="360" w:lineRule="auto"/>
              <w:ind w:right="238" w:firstLine="1054" w:firstLineChars="500"/>
              <w:jc w:val="both"/>
              <w:rPr>
                <w:b/>
                <w:sz w:val="21"/>
                <w:szCs w:val="21"/>
              </w:rPr>
            </w:pPr>
            <w:r>
              <w:rPr>
                <w:rFonts w:hint="eastAsia"/>
                <w:b/>
                <w:sz w:val="21"/>
                <w:szCs w:val="21"/>
                <w:lang w:val="en-US"/>
              </w:rPr>
              <w:t>服务期</w:t>
            </w:r>
          </w:p>
        </w:tc>
        <w:tc>
          <w:tcPr>
            <w:tcW w:w="6064"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461" w:type="dxa"/>
            <w:shd w:val="clear" w:color="auto" w:fill="auto"/>
          </w:tcPr>
          <w:p>
            <w:pPr>
              <w:pStyle w:val="45"/>
              <w:spacing w:before="215" w:line="360" w:lineRule="auto"/>
              <w:ind w:right="238" w:firstLine="843" w:firstLineChars="400"/>
              <w:jc w:val="both"/>
              <w:rPr>
                <w:b/>
                <w:sz w:val="21"/>
                <w:szCs w:val="21"/>
                <w:lang w:val="en-US"/>
              </w:rPr>
            </w:pPr>
            <w:r>
              <w:rPr>
                <w:rFonts w:hint="eastAsia"/>
                <w:b/>
                <w:sz w:val="21"/>
                <w:szCs w:val="21"/>
                <w:lang w:val="en-US"/>
              </w:rPr>
              <w:t>项目负责人</w:t>
            </w:r>
          </w:p>
        </w:tc>
        <w:tc>
          <w:tcPr>
            <w:tcW w:w="6064" w:type="dxa"/>
            <w:shd w:val="clear" w:color="auto" w:fill="auto"/>
          </w:tcPr>
          <w:p>
            <w:pPr>
              <w:pStyle w:val="45"/>
              <w:spacing w:line="360" w:lineRule="auto"/>
              <w:rPr>
                <w:sz w:val="21"/>
                <w:szCs w:val="21"/>
                <w:lang w:eastAsia="en-US"/>
              </w:rPr>
            </w:pPr>
          </w:p>
        </w:tc>
      </w:tr>
    </w:tbl>
    <w:p>
      <w:pPr>
        <w:pStyle w:val="9"/>
        <w:tabs>
          <w:tab w:val="left" w:pos="7181"/>
        </w:tabs>
        <w:spacing w:line="360" w:lineRule="auto"/>
        <w:ind w:right="1223" w:firstLine="3990" w:firstLineChars="1900"/>
        <w:rPr>
          <w:sz w:val="21"/>
          <w:szCs w:val="21"/>
        </w:rPr>
      </w:pPr>
    </w:p>
    <w:p>
      <w:pPr>
        <w:pStyle w:val="9"/>
        <w:tabs>
          <w:tab w:val="left" w:pos="7181"/>
        </w:tabs>
        <w:spacing w:line="360" w:lineRule="auto"/>
        <w:ind w:right="1223" w:firstLine="3990" w:firstLineChars="1900"/>
        <w:rPr>
          <w:spacing w:val="-18"/>
          <w:sz w:val="21"/>
          <w:szCs w:val="21"/>
        </w:rPr>
      </w:pPr>
      <w:r>
        <w:rPr>
          <w:sz w:val="21"/>
          <w:szCs w:val="21"/>
        </w:rPr>
        <w:t>供应商公章</w:t>
      </w:r>
      <w:r>
        <w:rPr>
          <w:spacing w:val="-18"/>
          <w:sz w:val="21"/>
          <w:szCs w:val="21"/>
        </w:rPr>
        <w:t xml:space="preserve">： </w:t>
      </w:r>
      <w:r>
        <w:rPr>
          <w:rFonts w:hint="eastAsia"/>
          <w:sz w:val="21"/>
          <w:szCs w:val="21"/>
          <w:u w:val="single"/>
        </w:rPr>
        <w:t xml:space="preserve">            </w:t>
      </w:r>
    </w:p>
    <w:p>
      <w:pPr>
        <w:pStyle w:val="9"/>
        <w:tabs>
          <w:tab w:val="left" w:pos="5841"/>
          <w:tab w:val="left" w:pos="8923"/>
        </w:tabs>
        <w:spacing w:before="79" w:line="360" w:lineRule="auto"/>
        <w:ind w:right="501"/>
        <w:jc w:val="right"/>
        <w:rPr>
          <w:sz w:val="21"/>
          <w:szCs w:val="21"/>
        </w:rPr>
      </w:pPr>
      <w:r>
        <w:rPr>
          <w:rFonts w:hint="eastAsia"/>
          <w:sz w:val="21"/>
          <w:szCs w:val="21"/>
        </w:rPr>
        <w:t>法定代表人或其委托代理人：</w:t>
      </w:r>
      <w:r>
        <w:rPr>
          <w:rFonts w:hint="eastAsia"/>
          <w:sz w:val="21"/>
          <w:szCs w:val="21"/>
          <w:u w:val="single"/>
        </w:rPr>
        <w:t xml:space="preserve">  （签字或盖章）</w:t>
      </w:r>
    </w:p>
    <w:p>
      <w:pPr>
        <w:pStyle w:val="9"/>
        <w:tabs>
          <w:tab w:val="left" w:pos="6705"/>
        </w:tabs>
        <w:spacing w:line="360" w:lineRule="auto"/>
        <w:ind w:right="1223" w:firstLine="4620" w:firstLineChars="2200"/>
        <w:rPr>
          <w:sz w:val="21"/>
          <w:szCs w:val="21"/>
          <w:u w:val="single"/>
        </w:rPr>
      </w:pPr>
      <w:r>
        <w:rPr>
          <w:sz w:val="21"/>
          <w:szCs w:val="21"/>
        </w:rPr>
        <w:t>日</w:t>
      </w:r>
      <w:r>
        <w:rPr>
          <w:rFonts w:hint="eastAsia"/>
          <w:sz w:val="21"/>
          <w:szCs w:val="21"/>
        </w:rPr>
        <w:t xml:space="preserve">    </w:t>
      </w:r>
      <w:r>
        <w:rPr>
          <w:sz w:val="21"/>
          <w:szCs w:val="21"/>
        </w:rPr>
        <w:t>期</w:t>
      </w:r>
      <w:r>
        <w:rPr>
          <w:spacing w:val="-18"/>
          <w:sz w:val="21"/>
          <w:szCs w:val="21"/>
        </w:rPr>
        <w:t>：</w:t>
      </w:r>
      <w:r>
        <w:rPr>
          <w:rFonts w:hint="eastAsia"/>
          <w:sz w:val="21"/>
          <w:szCs w:val="21"/>
          <w:u w:val="single"/>
        </w:rPr>
        <w:t xml:space="preserve">        </w:t>
      </w:r>
    </w:p>
    <w:p>
      <w:pPr>
        <w:autoSpaceDE w:val="0"/>
        <w:autoSpaceDN w:val="0"/>
        <w:spacing w:before="120" w:beforeLines="50" w:after="120" w:afterLines="50" w:line="360" w:lineRule="auto"/>
        <w:ind w:right="210" w:rightChars="100"/>
        <w:jc w:val="left"/>
        <w:rPr>
          <w:rFonts w:ascii="宋体" w:hAnsi="宋体" w:cs="宋体"/>
          <w:b/>
          <w:kern w:val="0"/>
          <w:lang w:val="zh-CN" w:bidi="zh-CN"/>
        </w:rPr>
      </w:pPr>
      <w:r>
        <w:rPr>
          <w:rFonts w:ascii="宋体" w:hAnsi="宋体" w:cs="宋体"/>
          <w:b/>
          <w:kern w:val="0"/>
          <w:lang w:val="zh-CN" w:bidi="zh-CN"/>
        </w:rPr>
        <w:t>注：</w:t>
      </w:r>
    </w:p>
    <w:p>
      <w:pPr>
        <w:autoSpaceDE w:val="0"/>
        <w:autoSpaceDN w:val="0"/>
        <w:spacing w:before="120" w:beforeLines="50" w:after="120" w:afterLines="50" w:line="360" w:lineRule="auto"/>
        <w:ind w:right="210" w:rightChars="100" w:firstLine="422" w:firstLineChars="200"/>
        <w:jc w:val="left"/>
        <w:rPr>
          <w:rFonts w:ascii="宋体" w:hAnsi="宋体" w:cs="宋体"/>
          <w:b/>
          <w:kern w:val="0"/>
          <w:lang w:val="zh-CN" w:bidi="zh-CN"/>
        </w:rPr>
      </w:pPr>
      <w:r>
        <w:rPr>
          <w:rFonts w:ascii="宋体" w:hAnsi="宋体" w:cs="宋体"/>
          <w:b/>
          <w:kern w:val="0"/>
          <w:lang w:val="zh-CN" w:bidi="zh-CN"/>
        </w:rPr>
        <w:t>本表内容根据竞争性磋商文件要求包括了服务及其配套的设计、采购、制造、 检测、试验、运输、保险、仓储、税费以及现场落地、安装及安装耗损、调试、验收、培训、技术服务（包括技术资料、图纸的提供）质保期内的售后服务保障等所有费用。</w:t>
      </w:r>
    </w:p>
    <w:p>
      <w:pPr>
        <w:autoSpaceDE w:val="0"/>
        <w:autoSpaceDN w:val="0"/>
        <w:spacing w:before="120" w:beforeLines="50" w:after="120" w:afterLines="50" w:line="360" w:lineRule="auto"/>
        <w:ind w:right="210" w:rightChars="100" w:firstLine="422" w:firstLineChars="200"/>
        <w:jc w:val="left"/>
        <w:rPr>
          <w:rFonts w:ascii="宋体" w:hAnsi="宋体" w:cs="宋体"/>
          <w:b/>
          <w:kern w:val="0"/>
          <w:lang w:val="zh-CN" w:bidi="zh-CN"/>
        </w:rPr>
      </w:pPr>
      <w:r>
        <w:rPr>
          <w:rFonts w:ascii="宋体" w:hAnsi="宋体" w:cs="宋体"/>
          <w:b/>
          <w:kern w:val="0"/>
          <w:lang w:val="zh-CN" w:bidi="zh-CN"/>
        </w:rPr>
        <w:t>特殊事项在备注中注明。</w:t>
      </w:r>
    </w:p>
    <w:p>
      <w:pPr>
        <w:spacing w:line="360" w:lineRule="auto"/>
        <w:rPr>
          <w:rFonts w:ascii="宋体" w:hAnsi="宋体"/>
          <w:b/>
          <w:bCs/>
          <w:spacing w:val="-12"/>
        </w:rPr>
        <w:sectPr>
          <w:pgSz w:w="11910" w:h="16840"/>
          <w:pgMar w:top="1400" w:right="1440" w:bottom="1220" w:left="1580" w:header="877" w:footer="1033" w:gutter="0"/>
          <w:cols w:space="720" w:num="1"/>
        </w:sectPr>
      </w:pPr>
    </w:p>
    <w:p>
      <w:pPr>
        <w:pStyle w:val="19"/>
        <w:ind w:firstLine="422"/>
        <w:rPr>
          <w:b/>
        </w:rPr>
      </w:pPr>
      <w:r>
        <w:rPr>
          <w:rFonts w:hint="eastAsia" w:ascii="宋体" w:hAnsi="宋体" w:cs="宋体"/>
          <w:b/>
          <w:kern w:val="0"/>
          <w:lang w:bidi="zh-CN"/>
        </w:rPr>
        <w:t>1-</w:t>
      </w:r>
    </w:p>
    <w:p>
      <w:pPr>
        <w:pStyle w:val="19"/>
        <w:ind w:firstLine="422"/>
        <w:rPr>
          <w:b/>
        </w:rPr>
      </w:pPr>
    </w:p>
    <w:p>
      <w:pPr>
        <w:pStyle w:val="19"/>
        <w:ind w:firstLine="422"/>
        <w:rPr>
          <w:b/>
        </w:rPr>
      </w:pPr>
    </w:p>
    <w:p>
      <w:pPr>
        <w:pStyle w:val="19"/>
        <w:ind w:firstLine="422"/>
        <w:rPr>
          <w:b/>
        </w:rPr>
      </w:pPr>
    </w:p>
    <w:p>
      <w:pPr>
        <w:pStyle w:val="19"/>
        <w:ind w:firstLine="422"/>
        <w:rPr>
          <w:b/>
        </w:rPr>
      </w:pPr>
    </w:p>
    <w:p>
      <w:pPr>
        <w:pStyle w:val="19"/>
        <w:ind w:firstLine="422"/>
        <w:rPr>
          <w:b/>
        </w:rPr>
      </w:pPr>
    </w:p>
    <w:p>
      <w:pPr>
        <w:pStyle w:val="19"/>
        <w:ind w:left="0" w:leftChars="0" w:firstLine="0" w:firstLineChars="0"/>
        <w:rPr>
          <w:b/>
        </w:rPr>
      </w:pPr>
    </w:p>
    <w:p>
      <w:pPr>
        <w:ind w:firstLine="3092" w:firstLineChars="1100"/>
        <w:outlineLvl w:val="2"/>
        <w:rPr>
          <w:b/>
          <w:sz w:val="28"/>
          <w:szCs w:val="28"/>
        </w:rPr>
      </w:pPr>
      <w:r>
        <w:rPr>
          <w:b/>
          <w:sz w:val="28"/>
          <w:szCs w:val="28"/>
        </w:rPr>
        <w:t>二、最后承诺报价表</w:t>
      </w:r>
    </w:p>
    <w:p>
      <w:pPr>
        <w:pStyle w:val="9"/>
        <w:spacing w:before="9" w:line="360" w:lineRule="auto"/>
        <w:rPr>
          <w:b/>
          <w:sz w:val="21"/>
          <w:szCs w:val="21"/>
        </w:rPr>
      </w:pPr>
    </w:p>
    <w:p>
      <w:pPr>
        <w:pStyle w:val="9"/>
        <w:spacing w:before="9" w:line="360" w:lineRule="auto"/>
        <w:rPr>
          <w:b/>
          <w:sz w:val="21"/>
          <w:szCs w:val="21"/>
        </w:rPr>
      </w:pPr>
    </w:p>
    <w:p>
      <w:pPr>
        <w:jc w:val="left"/>
        <w:rPr>
          <w:rFonts w:ascii="宋体" w:hAnsi="宋体"/>
          <w:b/>
          <w:sz w:val="28"/>
          <w:szCs w:val="28"/>
        </w:rPr>
      </w:pPr>
      <w:r>
        <w:rPr>
          <w:rFonts w:ascii="宋体" w:hAnsi="宋体"/>
          <w:b/>
          <w:sz w:val="28"/>
          <w:szCs w:val="28"/>
        </w:rPr>
        <w:t>项目名称：</w:t>
      </w:r>
      <w:r>
        <w:rPr>
          <w:rFonts w:ascii="宋体" w:hAnsi="宋体"/>
          <w:b/>
          <w:sz w:val="28"/>
          <w:szCs w:val="28"/>
          <w:u w:val="single"/>
        </w:rPr>
        <w:tab/>
      </w:r>
      <w:r>
        <w:rPr>
          <w:rFonts w:ascii="宋体" w:hAnsi="宋体"/>
          <w:b/>
          <w:sz w:val="28"/>
          <w:szCs w:val="28"/>
          <w:u w:val="single"/>
        </w:rPr>
        <w:t xml:space="preserve">    </w:t>
      </w:r>
      <w:r>
        <w:rPr>
          <w:rFonts w:hint="eastAsia" w:ascii="宋体" w:hAnsi="宋体"/>
          <w:b/>
          <w:sz w:val="28"/>
          <w:szCs w:val="28"/>
          <w:u w:val="single"/>
        </w:rPr>
        <w:t xml:space="preserve">   </w:t>
      </w:r>
    </w:p>
    <w:p>
      <w:pPr>
        <w:pStyle w:val="9"/>
        <w:spacing w:before="1" w:after="1" w:line="360" w:lineRule="auto"/>
        <w:rPr>
          <w:b/>
          <w:sz w:val="21"/>
          <w:szCs w:val="21"/>
        </w:rPr>
      </w:pPr>
    </w:p>
    <w:tbl>
      <w:tblPr>
        <w:tblStyle w:val="20"/>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45"/>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45"/>
              <w:spacing w:before="11" w:line="360" w:lineRule="auto"/>
              <w:rPr>
                <w:b/>
                <w:sz w:val="21"/>
                <w:szCs w:val="21"/>
                <w:lang w:eastAsia="en-US"/>
              </w:rPr>
            </w:pPr>
          </w:p>
          <w:p>
            <w:pPr>
              <w:pStyle w:val="45"/>
              <w:spacing w:line="360" w:lineRule="auto"/>
              <w:ind w:left="245" w:right="237"/>
              <w:jc w:val="center"/>
              <w:rPr>
                <w:b/>
                <w:sz w:val="21"/>
                <w:szCs w:val="21"/>
                <w:lang w:eastAsia="en-US"/>
              </w:rPr>
            </w:pPr>
            <w:r>
              <w:rPr>
                <w:b/>
                <w:sz w:val="21"/>
                <w:szCs w:val="21"/>
                <w:lang w:eastAsia="en-US"/>
              </w:rPr>
              <w:t>磋商范围</w:t>
            </w:r>
          </w:p>
        </w:tc>
        <w:tc>
          <w:tcPr>
            <w:tcW w:w="6064" w:type="dxa"/>
            <w:shd w:val="clear" w:color="auto" w:fill="auto"/>
          </w:tcPr>
          <w:p>
            <w:pPr>
              <w:pStyle w:val="45"/>
              <w:spacing w:before="11" w:line="360" w:lineRule="auto"/>
              <w:rPr>
                <w:b/>
                <w:sz w:val="21"/>
                <w:szCs w:val="21"/>
                <w:lang w:eastAsia="en-US"/>
              </w:rPr>
            </w:pPr>
          </w:p>
          <w:p>
            <w:pPr>
              <w:pStyle w:val="45"/>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2461" w:type="dxa"/>
            <w:shd w:val="clear" w:color="auto" w:fill="auto"/>
            <w:vAlign w:val="center"/>
          </w:tcPr>
          <w:p>
            <w:pPr>
              <w:pStyle w:val="45"/>
              <w:spacing w:before="7" w:line="360" w:lineRule="auto"/>
              <w:jc w:val="center"/>
              <w:rPr>
                <w:b/>
                <w:sz w:val="21"/>
                <w:szCs w:val="21"/>
                <w:lang w:eastAsia="en-US"/>
              </w:rPr>
            </w:pPr>
            <w:r>
              <w:rPr>
                <w:b/>
                <w:sz w:val="21"/>
                <w:szCs w:val="21"/>
                <w:lang w:eastAsia="en-US"/>
              </w:rPr>
              <w:t>磋商</w:t>
            </w:r>
            <w:r>
              <w:rPr>
                <w:rFonts w:hint="eastAsia"/>
                <w:b/>
                <w:sz w:val="21"/>
                <w:szCs w:val="21"/>
                <w:lang w:eastAsia="en-US"/>
              </w:rPr>
              <w:t>内容</w:t>
            </w:r>
          </w:p>
        </w:tc>
        <w:tc>
          <w:tcPr>
            <w:tcW w:w="6064" w:type="dxa"/>
            <w:shd w:val="clear" w:color="auto" w:fill="auto"/>
            <w:vAlign w:val="center"/>
          </w:tcPr>
          <w:p>
            <w:pPr>
              <w:pStyle w:val="45"/>
              <w:spacing w:line="360" w:lineRule="auto"/>
              <w:jc w:val="center"/>
              <w:rPr>
                <w:b/>
                <w:sz w:val="21"/>
                <w:szCs w:val="21"/>
                <w:lang w:eastAsia="en-US"/>
              </w:rPr>
            </w:pPr>
            <w:r>
              <w:rPr>
                <w:rFonts w:hint="eastAsia"/>
                <w:b/>
                <w:sz w:val="21"/>
                <w:szCs w:val="21"/>
              </w:rPr>
              <w:t>（此内容由</w:t>
            </w:r>
            <w:r>
              <w:rPr>
                <w:b/>
                <w:sz w:val="21"/>
                <w:szCs w:val="21"/>
              </w:rPr>
              <w:t>磋商</w:t>
            </w:r>
            <w:r>
              <w:rPr>
                <w:rFonts w:hint="eastAsia"/>
                <w:b/>
                <w:sz w:val="21"/>
                <w:szCs w:val="21"/>
              </w:rPr>
              <w:t>小组根据项目需求据实填写，如不对原文件内容进行修改，此项填“无”。）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45"/>
              <w:spacing w:before="7" w:line="360" w:lineRule="auto"/>
              <w:rPr>
                <w:b/>
                <w:sz w:val="21"/>
                <w:szCs w:val="21"/>
              </w:rPr>
            </w:pPr>
          </w:p>
          <w:p>
            <w:pPr>
              <w:pStyle w:val="45"/>
              <w:spacing w:line="360" w:lineRule="auto"/>
              <w:ind w:left="243" w:right="238"/>
              <w:jc w:val="center"/>
              <w:rPr>
                <w:b/>
                <w:sz w:val="21"/>
                <w:szCs w:val="21"/>
              </w:rPr>
            </w:pPr>
            <w:r>
              <w:rPr>
                <w:b/>
                <w:sz w:val="21"/>
                <w:szCs w:val="21"/>
              </w:rPr>
              <w:t>最后报价</w:t>
            </w:r>
          </w:p>
          <w:p>
            <w:pPr>
              <w:pStyle w:val="45"/>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45"/>
              <w:spacing w:line="360" w:lineRule="auto"/>
              <w:rPr>
                <w:b/>
                <w:sz w:val="21"/>
                <w:szCs w:val="21"/>
              </w:rPr>
            </w:pPr>
          </w:p>
          <w:p>
            <w:pPr>
              <w:pStyle w:val="45"/>
              <w:spacing w:before="9" w:line="360" w:lineRule="auto"/>
              <w:rPr>
                <w:b/>
                <w:sz w:val="21"/>
                <w:szCs w:val="21"/>
              </w:rPr>
            </w:pPr>
          </w:p>
          <w:p>
            <w:pPr>
              <w:pStyle w:val="45"/>
              <w:tabs>
                <w:tab w:val="left" w:pos="4482"/>
              </w:tabs>
              <w:spacing w:line="360" w:lineRule="auto"/>
              <w:ind w:left="107"/>
              <w:rPr>
                <w:sz w:val="21"/>
                <w:szCs w:val="21"/>
                <w:lang w:eastAsia="en-US"/>
              </w:rPr>
            </w:pPr>
            <w:r>
              <w:rPr>
                <w:sz w:val="21"/>
                <w:szCs w:val="21"/>
                <w:lang w:eastAsia="en-US"/>
              </w:rPr>
              <w:t>人民币大写：</w:t>
            </w:r>
            <w:r>
              <w:rPr>
                <w:sz w:val="21"/>
                <w:szCs w:val="21"/>
                <w:u w:val="single"/>
                <w:lang w:eastAsia="en-US"/>
              </w:rPr>
              <w:t xml:space="preserve"> </w:t>
            </w:r>
            <w:r>
              <w:rPr>
                <w:sz w:val="21"/>
                <w:szCs w:val="21"/>
                <w:u w:val="single"/>
                <w:lang w:eastAsia="en-US"/>
              </w:rPr>
              <w:tab/>
            </w:r>
            <w:r>
              <w:rPr>
                <w:rFonts w:hint="eastAsia"/>
                <w:sz w:val="21"/>
                <w:szCs w:val="21"/>
                <w:u w:val="single"/>
                <w:lang w:val="en-US"/>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61" w:type="dxa"/>
            <w:shd w:val="clear" w:color="auto" w:fill="auto"/>
          </w:tcPr>
          <w:p>
            <w:pPr>
              <w:pStyle w:val="45"/>
              <w:spacing w:before="165" w:line="360" w:lineRule="auto"/>
              <w:ind w:right="238" w:firstLine="843" w:firstLineChars="400"/>
              <w:rPr>
                <w:b/>
                <w:sz w:val="21"/>
                <w:szCs w:val="21"/>
              </w:rPr>
            </w:pPr>
            <w:r>
              <w:rPr>
                <w:rFonts w:hint="eastAsia"/>
                <w:b/>
                <w:sz w:val="21"/>
                <w:szCs w:val="21"/>
                <w:lang w:val="en-US"/>
              </w:rPr>
              <w:t>服务期</w:t>
            </w:r>
          </w:p>
        </w:tc>
        <w:tc>
          <w:tcPr>
            <w:tcW w:w="6064"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61" w:type="dxa"/>
            <w:shd w:val="clear" w:color="auto" w:fill="auto"/>
          </w:tcPr>
          <w:p>
            <w:pPr>
              <w:pStyle w:val="45"/>
              <w:spacing w:before="165" w:line="360" w:lineRule="auto"/>
              <w:ind w:right="238" w:firstLine="632" w:firstLineChars="300"/>
              <w:rPr>
                <w:b/>
                <w:sz w:val="21"/>
                <w:szCs w:val="21"/>
                <w:lang w:val="en-US"/>
              </w:rPr>
            </w:pPr>
            <w:r>
              <w:rPr>
                <w:rFonts w:hint="eastAsia"/>
                <w:b/>
                <w:sz w:val="21"/>
                <w:szCs w:val="21"/>
                <w:lang w:val="en-US"/>
              </w:rPr>
              <w:t>项目负责人</w:t>
            </w:r>
          </w:p>
        </w:tc>
        <w:tc>
          <w:tcPr>
            <w:tcW w:w="6064" w:type="dxa"/>
            <w:shd w:val="clear" w:color="auto" w:fill="auto"/>
          </w:tcPr>
          <w:p>
            <w:pPr>
              <w:pStyle w:val="45"/>
              <w:spacing w:line="360" w:lineRule="auto"/>
              <w:rPr>
                <w:sz w:val="21"/>
                <w:szCs w:val="21"/>
                <w:lang w:eastAsia="en-US"/>
              </w:rPr>
            </w:pPr>
          </w:p>
        </w:tc>
      </w:tr>
    </w:tbl>
    <w:p>
      <w:pPr>
        <w:pStyle w:val="9"/>
        <w:tabs>
          <w:tab w:val="left" w:pos="6221"/>
        </w:tabs>
        <w:spacing w:before="79" w:line="360" w:lineRule="auto"/>
        <w:ind w:left="5261" w:right="504"/>
        <w:rPr>
          <w:spacing w:val="-19"/>
          <w:sz w:val="21"/>
          <w:szCs w:val="21"/>
        </w:rPr>
      </w:pPr>
      <w:r>
        <w:rPr>
          <w:sz w:val="21"/>
          <w:szCs w:val="21"/>
        </w:rPr>
        <w:t>供应商公章或授权代表签字</w:t>
      </w:r>
      <w:r>
        <w:rPr>
          <w:spacing w:val="-19"/>
          <w:sz w:val="21"/>
          <w:szCs w:val="21"/>
        </w:rPr>
        <w:t>：</w:t>
      </w:r>
    </w:p>
    <w:p>
      <w:pPr>
        <w:pStyle w:val="9"/>
        <w:tabs>
          <w:tab w:val="left" w:pos="6221"/>
        </w:tabs>
        <w:spacing w:before="79" w:line="360" w:lineRule="auto"/>
        <w:ind w:left="5261" w:right="504"/>
        <w:rPr>
          <w:sz w:val="21"/>
          <w:szCs w:val="21"/>
        </w:rPr>
      </w:pPr>
      <w:r>
        <w:rPr>
          <w:spacing w:val="-19"/>
          <w:sz w:val="21"/>
          <w:szCs w:val="21"/>
        </w:rPr>
        <w:t xml:space="preserve"> </w:t>
      </w:r>
      <w:r>
        <w:rPr>
          <w:sz w:val="21"/>
          <w:szCs w:val="21"/>
        </w:rPr>
        <w:t>日</w:t>
      </w:r>
      <w:r>
        <w:rPr>
          <w:sz w:val="21"/>
          <w:szCs w:val="21"/>
        </w:rPr>
        <w:tab/>
      </w:r>
      <w:r>
        <w:rPr>
          <w:sz w:val="21"/>
          <w:szCs w:val="21"/>
        </w:rPr>
        <w:t>期：</w:t>
      </w:r>
    </w:p>
    <w:p>
      <w:pPr>
        <w:spacing w:before="120" w:beforeLines="50" w:after="120" w:afterLines="50" w:line="360" w:lineRule="auto"/>
        <w:ind w:firstLine="422" w:firstLineChars="200"/>
        <w:rPr>
          <w:rFonts w:ascii="宋体" w:hAnsi="宋体"/>
          <w:b/>
        </w:rPr>
      </w:pPr>
      <w:r>
        <w:rPr>
          <w:rFonts w:ascii="宋体" w:hAnsi="宋体"/>
          <w:b/>
        </w:rPr>
        <w:t>注：</w:t>
      </w:r>
      <w:r>
        <w:rPr>
          <w:rFonts w:hint="eastAsia" w:ascii="宋体" w:hAnsi="宋体"/>
          <w:b/>
        </w:rPr>
        <w:t>1、</w:t>
      </w:r>
      <w:r>
        <w:rPr>
          <w:rFonts w:ascii="宋体" w:hAnsi="宋体"/>
          <w:b/>
        </w:rPr>
        <w:t>本页《报价表》请供应商带至磋商现场备填。</w:t>
      </w:r>
    </w:p>
    <w:p>
      <w:pPr>
        <w:spacing w:line="360" w:lineRule="auto"/>
        <w:rPr>
          <w:rFonts w:ascii="宋体" w:hAnsi="宋体"/>
        </w:rPr>
        <w:sectPr>
          <w:type w:val="continuous"/>
          <w:pgSz w:w="11910" w:h="16840"/>
          <w:pgMar w:top="1400" w:right="1440" w:bottom="1220" w:left="1580" w:header="877" w:footer="1033" w:gutter="0"/>
          <w:cols w:space="720" w:num="1"/>
        </w:sectPr>
      </w:pPr>
    </w:p>
    <w:p>
      <w:pPr>
        <w:ind w:firstLine="3092" w:firstLineChars="1100"/>
        <w:outlineLvl w:val="2"/>
        <w:rPr>
          <w:b/>
          <w:sz w:val="28"/>
          <w:szCs w:val="28"/>
        </w:rPr>
      </w:pPr>
      <w:r>
        <w:rPr>
          <w:b/>
          <w:sz w:val="28"/>
          <w:szCs w:val="28"/>
        </w:rPr>
        <w:t>三、磋商响应函</w:t>
      </w:r>
    </w:p>
    <w:p>
      <w:pPr>
        <w:pStyle w:val="49"/>
        <w:widowControl w:val="0"/>
        <w:spacing w:line="360" w:lineRule="auto"/>
        <w:rPr>
          <w:b/>
        </w:rPr>
      </w:pPr>
      <w:r>
        <w:rPr>
          <w:b/>
        </w:rPr>
        <w:t xml:space="preserve">致： </w:t>
      </w:r>
      <w:r>
        <w:rPr>
          <w:rFonts w:hint="eastAsia" w:ascii="宋体" w:hAnsi="宋体"/>
          <w:bCs/>
          <w:u w:val="single"/>
        </w:rPr>
        <w:t>（采购人）</w:t>
      </w:r>
    </w:p>
    <w:p>
      <w:pPr>
        <w:pStyle w:val="9"/>
        <w:spacing w:before="2" w:line="360" w:lineRule="auto"/>
        <w:ind w:left="700"/>
        <w:rPr>
          <w:sz w:val="21"/>
          <w:szCs w:val="21"/>
        </w:rPr>
      </w:pPr>
      <w:r>
        <w:rPr>
          <w:sz w:val="21"/>
          <w:szCs w:val="21"/>
        </w:rPr>
        <w:t>根据贵方的</w:t>
      </w:r>
      <w:r>
        <w:rPr>
          <w:b/>
          <w:sz w:val="21"/>
          <w:szCs w:val="21"/>
        </w:rPr>
        <w:t>竞争性磋商</w:t>
      </w:r>
      <w:r>
        <w:rPr>
          <w:sz w:val="21"/>
          <w:szCs w:val="21"/>
        </w:rPr>
        <w:t>邀请公告，我方兹宣布同意如下：</w:t>
      </w:r>
    </w:p>
    <w:p>
      <w:pPr>
        <w:pStyle w:val="33"/>
        <w:numPr>
          <w:ilvl w:val="2"/>
          <w:numId w:val="24"/>
        </w:numPr>
        <w:tabs>
          <w:tab w:val="left" w:pos="942"/>
        </w:tabs>
        <w:spacing w:before="160" w:line="360" w:lineRule="auto"/>
        <w:ind w:right="357" w:firstLine="479"/>
        <w:rPr>
          <w:spacing w:val="4"/>
          <w:sz w:val="21"/>
          <w:szCs w:val="21"/>
        </w:rPr>
      </w:pPr>
      <w:r>
        <w:rPr>
          <w:spacing w:val="-11"/>
          <w:sz w:val="21"/>
          <w:szCs w:val="21"/>
        </w:rPr>
        <w:t>如</w:t>
      </w:r>
      <w:r>
        <w:rPr>
          <w:spacing w:val="4"/>
          <w:sz w:val="21"/>
          <w:szCs w:val="21"/>
        </w:rPr>
        <w:t>我公司成交，我公司承诺愿意按竞争性磋商文件规定缴纳履约保证金和成交服务费。按本次竞争性磋商文件规定及最后报价承诺供货及安装。</w:t>
      </w:r>
    </w:p>
    <w:p>
      <w:pPr>
        <w:pStyle w:val="33"/>
        <w:numPr>
          <w:ilvl w:val="2"/>
          <w:numId w:val="24"/>
        </w:numPr>
        <w:tabs>
          <w:tab w:val="left" w:pos="942"/>
        </w:tabs>
        <w:spacing w:before="1" w:line="360" w:lineRule="auto"/>
        <w:ind w:right="361" w:firstLine="479"/>
        <w:rPr>
          <w:sz w:val="21"/>
          <w:szCs w:val="21"/>
        </w:rPr>
      </w:pPr>
      <w:r>
        <w:rPr>
          <w:spacing w:val="-1"/>
          <w:sz w:val="21"/>
          <w:szCs w:val="21"/>
        </w:rPr>
        <w:t>我方根据本次竞争性磋商文件的规定，严格履行合同的责任和义务,并保证于买</w:t>
      </w:r>
      <w:r>
        <w:rPr>
          <w:sz w:val="21"/>
          <w:szCs w:val="21"/>
        </w:rPr>
        <w:t>方要求的日期内完成服务，并通过买方验收。</w:t>
      </w:r>
    </w:p>
    <w:p>
      <w:pPr>
        <w:pStyle w:val="33"/>
        <w:numPr>
          <w:ilvl w:val="2"/>
          <w:numId w:val="24"/>
        </w:numPr>
        <w:tabs>
          <w:tab w:val="left" w:pos="942"/>
        </w:tabs>
        <w:spacing w:before="2" w:line="360" w:lineRule="auto"/>
        <w:ind w:left="941" w:hanging="242"/>
        <w:rPr>
          <w:sz w:val="21"/>
          <w:szCs w:val="21"/>
        </w:rPr>
      </w:pPr>
      <w:r>
        <w:rPr>
          <w:sz w:val="21"/>
          <w:szCs w:val="21"/>
        </w:rPr>
        <w:t>我方承诺报价低于同类货物和服务的市场平均价格。</w:t>
      </w:r>
    </w:p>
    <w:p>
      <w:pPr>
        <w:pStyle w:val="33"/>
        <w:numPr>
          <w:ilvl w:val="2"/>
          <w:numId w:val="24"/>
        </w:numPr>
        <w:tabs>
          <w:tab w:val="left" w:pos="942"/>
        </w:tabs>
        <w:spacing w:before="161" w:line="360" w:lineRule="auto"/>
        <w:ind w:right="239" w:firstLine="479"/>
        <w:jc w:val="both"/>
        <w:rPr>
          <w:sz w:val="21"/>
          <w:szCs w:val="21"/>
        </w:rPr>
      </w:pPr>
      <w:r>
        <w:rPr>
          <w:spacing w:val="-6"/>
          <w:sz w:val="21"/>
          <w:szCs w:val="21"/>
        </w:rPr>
        <w:t>我方已详细审核本次竞争性磋商文件，包括竞争性磋商文件附件、参考资料、竞争性磋商文件</w:t>
      </w:r>
      <w:r>
        <w:rPr>
          <w:spacing w:val="-4"/>
          <w:sz w:val="21"/>
          <w:szCs w:val="21"/>
        </w:rPr>
        <w:t>修改书或图纸</w:t>
      </w:r>
      <w:r>
        <w:rPr>
          <w:spacing w:val="2"/>
          <w:sz w:val="21"/>
          <w:szCs w:val="21"/>
        </w:rPr>
        <w:t>（</w:t>
      </w:r>
      <w:r>
        <w:rPr>
          <w:sz w:val="21"/>
          <w:szCs w:val="21"/>
        </w:rPr>
        <w:t>如有</w:t>
      </w:r>
      <w:r>
        <w:rPr>
          <w:spacing w:val="-118"/>
          <w:sz w:val="21"/>
          <w:szCs w:val="21"/>
        </w:rPr>
        <w:t>）</w:t>
      </w:r>
      <w:r>
        <w:rPr>
          <w:sz w:val="21"/>
          <w:szCs w:val="21"/>
        </w:rPr>
        <w:t>，我方正式认可并遵守本次竞争性磋商文件，并对竞争性磋商文件各项条款、规定及要求均无异议。我方知道必须放弃提出含糊不清或误解问题的权利。</w:t>
      </w:r>
    </w:p>
    <w:p>
      <w:pPr>
        <w:pStyle w:val="33"/>
        <w:numPr>
          <w:ilvl w:val="2"/>
          <w:numId w:val="24"/>
        </w:numPr>
        <w:tabs>
          <w:tab w:val="left" w:pos="942"/>
        </w:tabs>
        <w:spacing w:before="1" w:line="360" w:lineRule="auto"/>
        <w:ind w:right="357" w:firstLine="479"/>
        <w:rPr>
          <w:sz w:val="21"/>
          <w:szCs w:val="21"/>
        </w:rPr>
      </w:pPr>
      <w:r>
        <w:rPr>
          <w:spacing w:val="-5"/>
          <w:sz w:val="21"/>
          <w:szCs w:val="21"/>
        </w:rPr>
        <w:t>我方同意从供应商须知规定的竞争性磋商日期起遵循本竞争性磋商文件，并在供应商须</w:t>
      </w:r>
      <w:r>
        <w:rPr>
          <w:sz w:val="21"/>
          <w:szCs w:val="21"/>
        </w:rPr>
        <w:t>知规定的竞争性磋商有效期之前均具有约束力。</w:t>
      </w:r>
    </w:p>
    <w:p>
      <w:pPr>
        <w:pStyle w:val="33"/>
        <w:numPr>
          <w:ilvl w:val="2"/>
          <w:numId w:val="24"/>
        </w:numPr>
        <w:tabs>
          <w:tab w:val="left" w:pos="946"/>
        </w:tabs>
        <w:spacing w:before="2" w:line="360" w:lineRule="auto"/>
        <w:ind w:right="350" w:firstLine="479"/>
        <w:rPr>
          <w:sz w:val="21"/>
          <w:szCs w:val="21"/>
        </w:rPr>
      </w:pPr>
      <w:r>
        <w:rPr>
          <w:spacing w:val="4"/>
          <w:sz w:val="21"/>
          <w:szCs w:val="21"/>
        </w:rPr>
        <w:t>我方同意按贵方要求在竞争性磋商现场规定时间内向贵方提供与其竞争性磋商有关的</w:t>
      </w:r>
      <w:r>
        <w:rPr>
          <w:sz w:val="21"/>
          <w:szCs w:val="21"/>
        </w:rPr>
        <w:t>任何证据或补充资料，否则，我方的响应文件可被贵方拒绝。</w:t>
      </w:r>
    </w:p>
    <w:p>
      <w:pPr>
        <w:pStyle w:val="33"/>
        <w:numPr>
          <w:ilvl w:val="2"/>
          <w:numId w:val="24"/>
        </w:numPr>
        <w:tabs>
          <w:tab w:val="left" w:pos="942"/>
        </w:tabs>
        <w:spacing w:before="1" w:line="360" w:lineRule="auto"/>
        <w:ind w:left="941" w:hanging="242"/>
        <w:rPr>
          <w:sz w:val="21"/>
          <w:szCs w:val="21"/>
        </w:rPr>
      </w:pPr>
      <w:r>
        <w:rPr>
          <w:sz w:val="21"/>
          <w:szCs w:val="21"/>
        </w:rPr>
        <w:t>我方完全理解贵方不一定接受最低报价的竞争性磋商。</w:t>
      </w:r>
    </w:p>
    <w:p>
      <w:pPr>
        <w:pStyle w:val="33"/>
        <w:numPr>
          <w:ilvl w:val="2"/>
          <w:numId w:val="24"/>
        </w:numPr>
        <w:tabs>
          <w:tab w:val="left" w:pos="942"/>
        </w:tabs>
        <w:spacing w:before="161" w:line="360" w:lineRule="auto"/>
        <w:ind w:left="941" w:hanging="242"/>
        <w:rPr>
          <w:sz w:val="21"/>
          <w:szCs w:val="21"/>
        </w:rPr>
      </w:pPr>
      <w:r>
        <w:rPr>
          <w:sz w:val="21"/>
          <w:szCs w:val="21"/>
        </w:rPr>
        <w:t>我方同意竞争性磋商文件规定的付款方式、服务期限。</w:t>
      </w:r>
    </w:p>
    <w:p>
      <w:pPr>
        <w:pStyle w:val="33"/>
        <w:numPr>
          <w:ilvl w:val="2"/>
          <w:numId w:val="24"/>
        </w:numPr>
        <w:tabs>
          <w:tab w:val="left" w:pos="1062"/>
        </w:tabs>
        <w:spacing w:before="161" w:line="360" w:lineRule="auto"/>
        <w:ind w:right="360" w:firstLine="479"/>
        <w:rPr>
          <w:sz w:val="21"/>
          <w:szCs w:val="21"/>
        </w:rPr>
      </w:pPr>
      <w:r>
        <w:rPr>
          <w:spacing w:val="-1"/>
          <w:sz w:val="21"/>
          <w:szCs w:val="21"/>
        </w:rPr>
        <w:t>我方对响应文件中所提供资料、文件、证书及证件的真实性和有效性负</w:t>
      </w:r>
      <w:r>
        <w:rPr>
          <w:sz w:val="21"/>
          <w:szCs w:val="21"/>
        </w:rPr>
        <w:t>责。</w:t>
      </w:r>
    </w:p>
    <w:p>
      <w:pPr>
        <w:pStyle w:val="33"/>
        <w:numPr>
          <w:ilvl w:val="2"/>
          <w:numId w:val="24"/>
        </w:numPr>
        <w:tabs>
          <w:tab w:val="left" w:pos="1062"/>
          <w:tab w:val="left" w:pos="4956"/>
          <w:tab w:val="left" w:pos="7116"/>
        </w:tabs>
        <w:spacing w:before="1" w:line="360" w:lineRule="auto"/>
        <w:ind w:left="697" w:firstLine="0"/>
        <w:rPr>
          <w:sz w:val="21"/>
          <w:szCs w:val="21"/>
        </w:rPr>
      </w:pPr>
      <w:r>
        <w:rPr>
          <w:sz w:val="21"/>
          <w:szCs w:val="21"/>
        </w:rPr>
        <w:t>与本竞争性磋商有关的通讯地址：</w:t>
      </w:r>
      <w:r>
        <w:rPr>
          <w:sz w:val="21"/>
          <w:szCs w:val="21"/>
          <w:u w:val="single"/>
        </w:rPr>
        <w:t xml:space="preserve"> </w:t>
      </w:r>
      <w:r>
        <w:rPr>
          <w:sz w:val="21"/>
          <w:szCs w:val="21"/>
          <w:u w:val="single"/>
        </w:rPr>
        <w:tab/>
      </w:r>
      <w:r>
        <w:rPr>
          <w:sz w:val="21"/>
          <w:szCs w:val="21"/>
          <w:u w:val="single"/>
        </w:rPr>
        <w:tab/>
      </w:r>
      <w:r>
        <w:rPr>
          <w:sz w:val="21"/>
          <w:szCs w:val="21"/>
        </w:rPr>
        <w:t xml:space="preserve"> </w:t>
      </w:r>
      <w:r>
        <w:rPr>
          <w:rFonts w:hint="eastAsia"/>
          <w:sz w:val="21"/>
          <w:szCs w:val="21"/>
        </w:rPr>
        <w:t xml:space="preserve"> </w:t>
      </w:r>
    </w:p>
    <w:p>
      <w:pPr>
        <w:pStyle w:val="33"/>
        <w:tabs>
          <w:tab w:val="left" w:pos="1062"/>
          <w:tab w:val="left" w:pos="4956"/>
          <w:tab w:val="left" w:pos="7116"/>
        </w:tabs>
        <w:spacing w:before="1" w:line="360" w:lineRule="auto"/>
        <w:ind w:left="697" w:firstLine="0"/>
        <w:rPr>
          <w:sz w:val="21"/>
          <w:szCs w:val="21"/>
        </w:rPr>
      </w:pPr>
      <w:r>
        <w:rPr>
          <w:rFonts w:hint="eastAsia"/>
          <w:sz w:val="21"/>
          <w:szCs w:val="21"/>
        </w:rPr>
        <w:t xml:space="preserve">                </w:t>
      </w:r>
    </w:p>
    <w:p>
      <w:pPr>
        <w:pStyle w:val="33"/>
        <w:tabs>
          <w:tab w:val="left" w:pos="1062"/>
          <w:tab w:val="left" w:pos="8550"/>
        </w:tabs>
        <w:spacing w:before="1" w:line="360" w:lineRule="auto"/>
        <w:ind w:left="697" w:firstLine="0"/>
        <w:rPr>
          <w:sz w:val="21"/>
          <w:szCs w:val="21"/>
        </w:rPr>
      </w:pPr>
      <w:r>
        <w:rPr>
          <w:rFonts w:hint="eastAsia"/>
          <w:sz w:val="21"/>
          <w:szCs w:val="21"/>
        </w:rPr>
        <w:t xml:space="preserve">                                   </w:t>
      </w:r>
      <w:r>
        <w:rPr>
          <w:sz w:val="21"/>
          <w:szCs w:val="21"/>
        </w:rPr>
        <w:t>供应商</w:t>
      </w:r>
      <w:r>
        <w:rPr>
          <w:rFonts w:hint="eastAsia"/>
          <w:sz w:val="21"/>
          <w:szCs w:val="21"/>
        </w:rPr>
        <w:t>（</w:t>
      </w:r>
      <w:r>
        <w:rPr>
          <w:rFonts w:hint="eastAsia"/>
          <w:sz w:val="21"/>
          <w:szCs w:val="21"/>
          <w:lang w:val="en-US"/>
        </w:rPr>
        <w:t>盖</w:t>
      </w:r>
      <w:r>
        <w:rPr>
          <w:sz w:val="21"/>
          <w:szCs w:val="21"/>
        </w:rPr>
        <w:t>章</w:t>
      </w:r>
      <w:r>
        <w:rPr>
          <w:rFonts w:hint="eastAsia"/>
          <w:sz w:val="21"/>
          <w:szCs w:val="21"/>
        </w:rPr>
        <w:t>）</w:t>
      </w:r>
      <w:r>
        <w:rPr>
          <w:sz w:val="21"/>
          <w:szCs w:val="21"/>
        </w:rPr>
        <w:t>：</w:t>
      </w:r>
      <w:r>
        <w:rPr>
          <w:sz w:val="21"/>
          <w:szCs w:val="21"/>
          <w:u w:val="single"/>
        </w:rPr>
        <w:t xml:space="preserve"> </w:t>
      </w:r>
      <w:r>
        <w:rPr>
          <w:sz w:val="21"/>
          <w:szCs w:val="21"/>
          <w:u w:val="single"/>
        </w:rPr>
        <w:tab/>
      </w:r>
    </w:p>
    <w:p>
      <w:pPr>
        <w:pStyle w:val="9"/>
        <w:tabs>
          <w:tab w:val="left" w:pos="5841"/>
          <w:tab w:val="left" w:pos="8923"/>
        </w:tabs>
        <w:spacing w:before="160" w:line="360" w:lineRule="auto"/>
        <w:ind w:left="703"/>
        <w:jc w:val="center"/>
        <w:rPr>
          <w:sz w:val="21"/>
          <w:szCs w:val="21"/>
          <w:u w:val="single"/>
          <w:lang w:val="en-US"/>
        </w:rPr>
      </w:pPr>
      <w:r>
        <w:rPr>
          <w:rFonts w:hint="eastAsia"/>
          <w:sz w:val="21"/>
          <w:szCs w:val="21"/>
        </w:rPr>
        <w:t xml:space="preserve">                       法定代表人或其委托代理人：</w:t>
      </w:r>
      <w:r>
        <w:rPr>
          <w:rFonts w:hint="eastAsia"/>
          <w:sz w:val="21"/>
          <w:szCs w:val="21"/>
          <w:u w:val="single"/>
        </w:rPr>
        <w:t xml:space="preserve">（签字或盖章） </w:t>
      </w:r>
      <w:r>
        <w:rPr>
          <w:rFonts w:hint="eastAsia"/>
          <w:sz w:val="21"/>
          <w:szCs w:val="21"/>
          <w:u w:val="single"/>
          <w:lang w:val="en-US"/>
        </w:rPr>
        <w:t xml:space="preserve">   </w:t>
      </w:r>
    </w:p>
    <w:p>
      <w:pPr>
        <w:pStyle w:val="9"/>
        <w:tabs>
          <w:tab w:val="left" w:pos="1420"/>
          <w:tab w:val="left" w:pos="4595"/>
        </w:tabs>
        <w:spacing w:before="1" w:line="360" w:lineRule="auto"/>
        <w:ind w:left="699" w:leftChars="333" w:firstLine="4620" w:firstLineChars="2200"/>
        <w:rPr>
          <w:sz w:val="21"/>
          <w:szCs w:val="21"/>
          <w:lang w:val="en-US"/>
        </w:rPr>
      </w:pPr>
      <w:r>
        <w:rPr>
          <w:sz w:val="21"/>
          <w:szCs w:val="21"/>
        </w:rPr>
        <w:t>日</w:t>
      </w:r>
      <w:r>
        <w:rPr>
          <w:sz w:val="21"/>
          <w:szCs w:val="21"/>
        </w:rPr>
        <w:tab/>
      </w:r>
      <w:r>
        <w:rPr>
          <w:rFonts w:hint="eastAsia"/>
          <w:sz w:val="21"/>
          <w:szCs w:val="21"/>
        </w:rPr>
        <w:t xml:space="preserve">    </w:t>
      </w:r>
      <w:r>
        <w:rPr>
          <w:sz w:val="21"/>
          <w:szCs w:val="21"/>
        </w:rPr>
        <w:t>期：</w:t>
      </w:r>
      <w:r>
        <w:rPr>
          <w:sz w:val="21"/>
          <w:szCs w:val="21"/>
          <w:u w:val="single"/>
        </w:rPr>
        <w:t xml:space="preserve"> </w:t>
      </w:r>
      <w:r>
        <w:rPr>
          <w:rFonts w:hint="eastAsia"/>
          <w:sz w:val="21"/>
          <w:szCs w:val="21"/>
          <w:u w:val="single"/>
        </w:rPr>
        <w:t xml:space="preserve">        </w:t>
      </w:r>
      <w:r>
        <w:rPr>
          <w:sz w:val="21"/>
          <w:szCs w:val="21"/>
          <w:u w:val="single"/>
        </w:rPr>
        <w:tab/>
      </w:r>
      <w:r>
        <w:rPr>
          <w:rFonts w:hint="eastAsia"/>
          <w:sz w:val="21"/>
          <w:szCs w:val="21"/>
          <w:u w:val="single"/>
          <w:lang w:val="en-US"/>
        </w:rPr>
        <w:t xml:space="preserve">      </w:t>
      </w:r>
    </w:p>
    <w:p>
      <w:pPr>
        <w:spacing w:line="360" w:lineRule="auto"/>
        <w:rPr>
          <w:rFonts w:ascii="宋体" w:hAnsi="宋体"/>
        </w:rPr>
        <w:sectPr>
          <w:pgSz w:w="11910" w:h="16840"/>
          <w:pgMar w:top="1400" w:right="1440" w:bottom="1220" w:left="1580" w:header="877" w:footer="1033" w:gutter="0"/>
          <w:cols w:space="720" w:num="1"/>
        </w:sectPr>
      </w:pPr>
    </w:p>
    <w:p>
      <w:pPr>
        <w:spacing w:line="360" w:lineRule="auto"/>
        <w:jc w:val="left"/>
        <w:rPr>
          <w:rFonts w:ascii="宋体" w:hAnsi="宋体" w:cs="黑体"/>
        </w:rPr>
      </w:pPr>
      <w:r>
        <w:rPr>
          <w:rFonts w:hint="eastAsia" w:ascii="宋体" w:hAnsi="宋体" w:cs="黑体"/>
          <w:b/>
        </w:rPr>
        <w:t>附录1</w:t>
      </w:r>
      <w:r>
        <w:rPr>
          <w:rFonts w:hint="eastAsia" w:ascii="宋体" w:hAnsi="宋体" w:cs="黑体"/>
        </w:rPr>
        <w:t>:</w:t>
      </w:r>
    </w:p>
    <w:p>
      <w:pPr>
        <w:spacing w:line="360" w:lineRule="auto"/>
        <w:jc w:val="left"/>
        <w:rPr>
          <w:rFonts w:ascii="宋体" w:hAnsi="宋体" w:cs="黑体"/>
        </w:rPr>
      </w:pPr>
    </w:p>
    <w:p>
      <w:pPr>
        <w:spacing w:line="360" w:lineRule="auto"/>
        <w:jc w:val="center"/>
        <w:rPr>
          <w:rFonts w:ascii="宋体" w:hAnsi="宋体" w:cs="黑体"/>
        </w:rPr>
      </w:pPr>
      <w:r>
        <w:rPr>
          <w:rFonts w:hint="eastAsia" w:ascii="宋体" w:hAnsi="宋体" w:cs="黑体"/>
        </w:rPr>
        <w:t>供应商诚信承诺书</w:t>
      </w:r>
    </w:p>
    <w:p>
      <w:pPr>
        <w:pStyle w:val="49"/>
        <w:widowControl w:val="0"/>
        <w:spacing w:line="360" w:lineRule="auto"/>
        <w:rPr>
          <w:rFonts w:ascii="宋体" w:hAnsi="宋体"/>
          <w:bCs/>
          <w:u w:val="single"/>
        </w:rPr>
      </w:pPr>
      <w:r>
        <w:rPr>
          <w:rFonts w:hint="eastAsia" w:ascii="宋体" w:hAnsi="宋体"/>
          <w:bCs/>
        </w:rPr>
        <w:t>致：</w:t>
      </w:r>
      <w:r>
        <w:rPr>
          <w:rFonts w:hint="eastAsia" w:ascii="宋体" w:hAnsi="宋体"/>
          <w:bCs/>
          <w:u w:val="single"/>
        </w:rPr>
        <w:t xml:space="preserve">  （采购人）</w:t>
      </w:r>
    </w:p>
    <w:p>
      <w:pPr>
        <w:spacing w:line="360" w:lineRule="auto"/>
        <w:ind w:firstLine="420" w:firstLineChars="200"/>
        <w:rPr>
          <w:rFonts w:ascii="宋体" w:hAnsi="宋体" w:cs="仿宋"/>
        </w:rPr>
      </w:pPr>
      <w:r>
        <w:rPr>
          <w:rFonts w:hint="eastAsia" w:ascii="宋体" w:hAnsi="宋体" w:cs="仿宋"/>
        </w:rPr>
        <w:t>我单位参加本次投标，承诺如下：</w:t>
      </w:r>
    </w:p>
    <w:p>
      <w:pPr>
        <w:spacing w:line="360" w:lineRule="auto"/>
        <w:ind w:firstLine="420" w:firstLineChars="200"/>
        <w:rPr>
          <w:rFonts w:ascii="宋体" w:hAnsi="宋体" w:cs="仿宋"/>
        </w:rPr>
      </w:pPr>
      <w:r>
        <w:rPr>
          <w:rFonts w:hint="eastAsia" w:ascii="宋体" w:hAnsi="宋体" w:cs="仿宋"/>
        </w:rPr>
        <w:t>1. 提供的所有资料都是真实有效。如被发现提供虚假资料或虚假承诺（声明），同意取消竞争性磋商和成交候选人资格。</w:t>
      </w:r>
    </w:p>
    <w:p>
      <w:pPr>
        <w:spacing w:line="360" w:lineRule="auto"/>
        <w:ind w:firstLine="420" w:firstLineChars="200"/>
        <w:rPr>
          <w:rFonts w:ascii="宋体" w:hAnsi="宋体" w:cs="仿宋"/>
        </w:rPr>
      </w:pPr>
      <w:r>
        <w:rPr>
          <w:rFonts w:hint="eastAsia" w:ascii="宋体" w:hAnsi="宋体" w:cs="仿宋"/>
        </w:rPr>
        <w:t>2. 不存在借用资质、串通投标等情形。如被发现，同意取消竞争性磋商和成交候选人资格。</w:t>
      </w:r>
    </w:p>
    <w:p>
      <w:pPr>
        <w:spacing w:line="360" w:lineRule="auto"/>
        <w:ind w:firstLine="420" w:firstLineChars="200"/>
        <w:rPr>
          <w:rFonts w:ascii="宋体" w:hAnsi="宋体" w:cs="仿宋"/>
        </w:rPr>
      </w:pPr>
      <w:r>
        <w:rPr>
          <w:rFonts w:hint="eastAsia" w:ascii="宋体" w:hAnsi="宋体" w:cs="仿宋"/>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ascii="宋体" w:hAnsi="宋体" w:cs="仿宋"/>
        </w:rPr>
      </w:pPr>
      <w:r>
        <w:rPr>
          <w:rFonts w:hint="eastAsia" w:ascii="宋体" w:hAnsi="宋体" w:cs="仿宋"/>
        </w:rPr>
        <w:t>4、我方成交后，严格按照采购文件和我单位响应文件的约定签订合同。</w:t>
      </w:r>
    </w:p>
    <w:p>
      <w:pPr>
        <w:spacing w:line="360" w:lineRule="auto"/>
        <w:ind w:firstLine="420" w:firstLineChars="200"/>
        <w:rPr>
          <w:rFonts w:ascii="宋体" w:hAnsi="宋体" w:cs="仿宋"/>
        </w:rPr>
      </w:pPr>
      <w:r>
        <w:rPr>
          <w:rFonts w:hint="eastAsia" w:ascii="宋体" w:hAnsi="宋体" w:cs="仿宋"/>
        </w:rPr>
        <w:t>5、我方同意将达不到供应商资格要求条件仍参与竞争性磋商或被行政主管部门、监督管理部门等暂停、取消公共资源交易资格且在限制期内仍参与竞争性磋商的情形视为弄虚作假，愿意接受处理。</w:t>
      </w:r>
    </w:p>
    <w:p>
      <w:pPr>
        <w:spacing w:line="360" w:lineRule="auto"/>
        <w:ind w:firstLine="420" w:firstLineChars="200"/>
        <w:rPr>
          <w:rFonts w:ascii="宋体" w:hAnsi="宋体" w:cs="仿宋"/>
        </w:rPr>
      </w:pPr>
      <w:r>
        <w:rPr>
          <w:rFonts w:hint="eastAsia" w:ascii="宋体" w:hAnsi="宋体" w:cs="仿宋"/>
        </w:rPr>
        <w:t>6、我方参与竞争性磋商如出现报价高于或等于该项目最高限价的情形，同意视为串通投标并接受处理。</w:t>
      </w:r>
    </w:p>
    <w:p>
      <w:pPr>
        <w:spacing w:line="360" w:lineRule="auto"/>
        <w:ind w:firstLine="420" w:firstLineChars="200"/>
        <w:rPr>
          <w:rFonts w:ascii="宋体" w:hAnsi="宋体" w:cs="华文仿宋"/>
          <w:kern w:val="0"/>
        </w:rPr>
      </w:pPr>
      <w:r>
        <w:rPr>
          <w:rFonts w:hint="eastAsia" w:ascii="宋体" w:hAnsi="宋体" w:cs="华文仿宋"/>
          <w:kern w:val="0"/>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rFonts w:ascii="宋体" w:hAnsi="宋体"/>
        </w:rPr>
      </w:pPr>
      <w:r>
        <w:rPr>
          <w:rFonts w:hint="eastAsia" w:ascii="宋体" w:hAnsi="宋体"/>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pPr>
        <w:spacing w:line="360" w:lineRule="auto"/>
        <w:ind w:firstLine="522" w:firstLineChars="249"/>
        <w:rPr>
          <w:rFonts w:ascii="宋体" w:hAnsi="宋体"/>
        </w:rPr>
      </w:pPr>
      <w:r>
        <w:rPr>
          <w:rFonts w:hint="eastAsia" w:ascii="宋体" w:hAnsi="宋体"/>
        </w:rPr>
        <w:t>此承诺不受投标有效期的限制。</w:t>
      </w:r>
    </w:p>
    <w:p>
      <w:pPr>
        <w:spacing w:line="360" w:lineRule="auto"/>
        <w:ind w:firstLine="420" w:firstLineChars="200"/>
        <w:rPr>
          <w:rFonts w:ascii="宋体" w:hAnsi="宋体" w:cs="华文仿宋"/>
          <w:kern w:val="0"/>
        </w:rPr>
      </w:pPr>
    </w:p>
    <w:p>
      <w:pPr>
        <w:pStyle w:val="49"/>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供应商（盖章）</w:t>
      </w:r>
      <w:r>
        <w:rPr>
          <w:rFonts w:hint="eastAsia" w:ascii="宋体" w:hAnsi="宋体" w:cs="宋体"/>
        </w:rPr>
        <w:t>：</w:t>
      </w:r>
      <w:r>
        <w:rPr>
          <w:rFonts w:hint="eastAsia" w:ascii="宋体" w:hAnsi="宋体" w:cs="宋体"/>
          <w:u w:val="single"/>
        </w:rPr>
        <w:t xml:space="preserve">                       </w:t>
      </w:r>
    </w:p>
    <w:p>
      <w:pPr>
        <w:pStyle w:val="49"/>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49"/>
        <w:widowControl w:val="0"/>
        <w:spacing w:line="360" w:lineRule="auto"/>
        <w:ind w:firstLine="420"/>
        <w:jc w:val="center"/>
        <w:rPr>
          <w:rFonts w:ascii="宋体" w:hAnsi="宋体" w:cs="宋体"/>
        </w:rPr>
      </w:pPr>
      <w:r>
        <w:rPr>
          <w:rFonts w:hint="eastAsia" w:ascii="宋体" w:hAnsi="宋体" w:cs="宋体"/>
        </w:rPr>
        <w:t xml:space="preserve">                                               年   月    日</w:t>
      </w:r>
    </w:p>
    <w:p>
      <w:pPr>
        <w:pStyle w:val="8"/>
        <w:rPr>
          <w:rFonts w:ascii="宋体" w:hAnsi="宋体" w:cs="宋体"/>
        </w:rPr>
      </w:pPr>
    </w:p>
    <w:p>
      <w:pPr>
        <w:rPr>
          <w:rFonts w:ascii="宋体" w:hAnsi="宋体" w:cs="宋体"/>
        </w:rPr>
      </w:pPr>
    </w:p>
    <w:p>
      <w:pPr>
        <w:pStyle w:val="19"/>
        <w:rPr>
          <w:rFonts w:ascii="宋体" w:hAnsi="宋体" w:cs="宋体"/>
        </w:rPr>
      </w:pPr>
    </w:p>
    <w:p>
      <w:pPr>
        <w:pStyle w:val="19"/>
        <w:rPr>
          <w:rFonts w:ascii="宋体" w:hAnsi="宋体" w:cs="宋体"/>
        </w:rPr>
      </w:pPr>
    </w:p>
    <w:p>
      <w:pPr>
        <w:pStyle w:val="19"/>
        <w:rPr>
          <w:rFonts w:ascii="宋体" w:hAnsi="宋体" w:cs="宋体"/>
        </w:rPr>
      </w:pPr>
    </w:p>
    <w:p>
      <w:pPr>
        <w:widowControl/>
        <w:spacing w:line="360" w:lineRule="auto"/>
        <w:ind w:firstLine="1124" w:firstLineChars="400"/>
        <w:jc w:val="left"/>
        <w:rPr>
          <w:b/>
          <w:sz w:val="28"/>
          <w:szCs w:val="28"/>
        </w:rPr>
      </w:pPr>
      <w:r>
        <w:rPr>
          <w:b/>
          <w:sz w:val="28"/>
          <w:szCs w:val="28"/>
        </w:rPr>
        <w:t>四、无重大违法记录声明函、无不良信用记录声明函</w:t>
      </w:r>
    </w:p>
    <w:p>
      <w:pPr>
        <w:spacing w:before="240" w:beforeLines="100" w:after="240" w:afterLines="100"/>
        <w:rPr>
          <w:rFonts w:ascii="宋体" w:hAnsi="宋体"/>
          <w:b/>
        </w:rPr>
      </w:pPr>
      <w:r>
        <w:rPr>
          <w:rFonts w:ascii="宋体" w:hAnsi="宋体"/>
          <w:b/>
        </w:rPr>
        <w:t>(联合体参加竞争性磋商的，联合体双方均须提供）</w:t>
      </w:r>
    </w:p>
    <w:p>
      <w:pPr>
        <w:pStyle w:val="33"/>
        <w:numPr>
          <w:ilvl w:val="0"/>
          <w:numId w:val="25"/>
        </w:numPr>
        <w:tabs>
          <w:tab w:val="left" w:pos="896"/>
        </w:tabs>
        <w:spacing w:before="192" w:line="360" w:lineRule="auto"/>
        <w:ind w:right="357" w:firstLine="434"/>
        <w:jc w:val="both"/>
        <w:rPr>
          <w:sz w:val="21"/>
          <w:szCs w:val="21"/>
        </w:rPr>
      </w:pPr>
      <w:r>
        <w:rPr>
          <w:spacing w:val="-6"/>
          <w:sz w:val="21"/>
          <w:szCs w:val="21"/>
        </w:rPr>
        <w:t>本单位郑重声明，根据《中华人民共和国政府采购法》及《中华人民共和</w:t>
      </w:r>
      <w:r>
        <w:rPr>
          <w:spacing w:val="-7"/>
          <w:sz w:val="21"/>
          <w:szCs w:val="21"/>
        </w:rPr>
        <w:t>国政府采购法实施条例》的规定，参加政府采购活动前三年内，本单位在经营活</w:t>
      </w:r>
      <w:r>
        <w:rPr>
          <w:spacing w:val="-8"/>
          <w:sz w:val="21"/>
          <w:szCs w:val="21"/>
        </w:rPr>
        <w:t>动中没有重大违法记录，没有因违法经营受到刑事处罚或者责令停产停业、吊销</w:t>
      </w:r>
      <w:r>
        <w:rPr>
          <w:spacing w:val="-10"/>
          <w:sz w:val="21"/>
          <w:szCs w:val="21"/>
        </w:rPr>
        <w:t>许可证或者执照、较大数额罚款等行政处罚，且未在被禁止参加政府采购活动的</w:t>
      </w:r>
      <w:r>
        <w:rPr>
          <w:sz w:val="21"/>
          <w:szCs w:val="21"/>
        </w:rPr>
        <w:t>处罚期限内。</w:t>
      </w:r>
    </w:p>
    <w:p>
      <w:pPr>
        <w:pStyle w:val="33"/>
        <w:numPr>
          <w:ilvl w:val="0"/>
          <w:numId w:val="25"/>
        </w:numPr>
        <w:tabs>
          <w:tab w:val="left" w:pos="896"/>
        </w:tabs>
        <w:spacing w:before="3" w:line="360" w:lineRule="auto"/>
        <w:ind w:left="895" w:hanging="242"/>
        <w:rPr>
          <w:sz w:val="21"/>
          <w:szCs w:val="21"/>
        </w:rPr>
      </w:pPr>
      <w:r>
        <w:rPr>
          <w:sz w:val="21"/>
          <w:szCs w:val="21"/>
        </w:rPr>
        <w:t>本单位郑重声明，我单位无以下不良信用记录情形：</w:t>
      </w:r>
    </w:p>
    <w:p>
      <w:pPr>
        <w:pStyle w:val="33"/>
        <w:numPr>
          <w:ilvl w:val="0"/>
          <w:numId w:val="26"/>
        </w:numPr>
        <w:tabs>
          <w:tab w:val="left" w:pos="1256"/>
        </w:tabs>
        <w:spacing w:before="131" w:line="360" w:lineRule="auto"/>
        <w:ind w:hanging="602"/>
        <w:rPr>
          <w:sz w:val="21"/>
          <w:szCs w:val="21"/>
        </w:rPr>
      </w:pPr>
      <w:r>
        <w:rPr>
          <w:sz w:val="21"/>
          <w:szCs w:val="21"/>
        </w:rPr>
        <w:t>被人民法院列入失信被执行人；</w:t>
      </w:r>
    </w:p>
    <w:p>
      <w:pPr>
        <w:pStyle w:val="33"/>
        <w:numPr>
          <w:ilvl w:val="0"/>
          <w:numId w:val="26"/>
        </w:numPr>
        <w:tabs>
          <w:tab w:val="left" w:pos="1262"/>
        </w:tabs>
        <w:spacing w:before="132" w:line="360" w:lineRule="auto"/>
        <w:ind w:left="220" w:right="357" w:firstLine="434"/>
        <w:rPr>
          <w:sz w:val="21"/>
          <w:szCs w:val="21"/>
        </w:rPr>
      </w:pPr>
      <w:r>
        <w:rPr>
          <w:sz w:val="21"/>
          <w:szCs w:val="21"/>
        </w:rPr>
        <w:t>单位、法定代表人或拟派项目经理（项目负责人）被人民检察院列入行贿犯罪档案；</w:t>
      </w:r>
    </w:p>
    <w:p>
      <w:pPr>
        <w:pStyle w:val="33"/>
        <w:numPr>
          <w:ilvl w:val="0"/>
          <w:numId w:val="26"/>
        </w:numPr>
        <w:tabs>
          <w:tab w:val="left" w:pos="1256"/>
        </w:tabs>
        <w:spacing w:line="360" w:lineRule="auto"/>
        <w:ind w:hanging="602"/>
        <w:rPr>
          <w:sz w:val="21"/>
          <w:szCs w:val="21"/>
        </w:rPr>
      </w:pPr>
      <w:r>
        <w:rPr>
          <w:sz w:val="21"/>
          <w:szCs w:val="21"/>
        </w:rPr>
        <w:t>被工商行政管理部门列入企业经营异常名录；</w:t>
      </w:r>
    </w:p>
    <w:p>
      <w:pPr>
        <w:pStyle w:val="33"/>
        <w:numPr>
          <w:ilvl w:val="0"/>
          <w:numId w:val="26"/>
        </w:numPr>
        <w:tabs>
          <w:tab w:val="left" w:pos="1256"/>
        </w:tabs>
        <w:spacing w:before="132" w:line="360" w:lineRule="auto"/>
        <w:ind w:hanging="602"/>
        <w:rPr>
          <w:sz w:val="21"/>
          <w:szCs w:val="21"/>
        </w:rPr>
      </w:pPr>
      <w:r>
        <w:rPr>
          <w:sz w:val="21"/>
          <w:szCs w:val="21"/>
        </w:rPr>
        <w:t>被税务部门列入重大税收违法案件当事人名单；</w:t>
      </w:r>
    </w:p>
    <w:p>
      <w:pPr>
        <w:pStyle w:val="33"/>
        <w:numPr>
          <w:ilvl w:val="0"/>
          <w:numId w:val="26"/>
        </w:numPr>
        <w:tabs>
          <w:tab w:val="left" w:pos="1256"/>
          <w:tab w:val="left" w:pos="6415"/>
        </w:tabs>
        <w:spacing w:before="134" w:line="360" w:lineRule="auto"/>
        <w:ind w:left="654" w:right="908" w:firstLine="0"/>
        <w:rPr>
          <w:sz w:val="21"/>
          <w:szCs w:val="21"/>
        </w:rPr>
      </w:pPr>
      <w:r>
        <w:rPr>
          <w:sz w:val="21"/>
          <w:szCs w:val="21"/>
        </w:rPr>
        <w:t>被政府采购监管部门列入政府采购严重违法失信行为记录名单</w:t>
      </w:r>
      <w:r>
        <w:rPr>
          <w:spacing w:val="-17"/>
          <w:sz w:val="21"/>
          <w:szCs w:val="21"/>
        </w:rPr>
        <w:t>。</w:t>
      </w:r>
    </w:p>
    <w:p>
      <w:pPr>
        <w:pStyle w:val="33"/>
        <w:tabs>
          <w:tab w:val="left" w:pos="1256"/>
          <w:tab w:val="left" w:pos="6415"/>
        </w:tabs>
        <w:spacing w:before="134" w:line="360" w:lineRule="auto"/>
        <w:ind w:left="654" w:right="908" w:firstLine="0"/>
        <w:rPr>
          <w:sz w:val="21"/>
          <w:szCs w:val="21"/>
        </w:rPr>
      </w:pPr>
      <w:r>
        <w:rPr>
          <w:sz w:val="21"/>
          <w:szCs w:val="21"/>
        </w:rPr>
        <w:t>3.</w:t>
      </w:r>
      <w:r>
        <w:rPr>
          <w:sz w:val="21"/>
          <w:szCs w:val="21"/>
          <w:u w:val="single"/>
        </w:rPr>
        <w:tab/>
      </w:r>
      <w:r>
        <w:rPr>
          <w:sz w:val="21"/>
          <w:szCs w:val="21"/>
        </w:rPr>
        <w:t>。</w:t>
      </w:r>
    </w:p>
    <w:p>
      <w:pPr>
        <w:pStyle w:val="9"/>
        <w:spacing w:before="3" w:line="360" w:lineRule="auto"/>
        <w:rPr>
          <w:sz w:val="21"/>
          <w:szCs w:val="21"/>
        </w:rPr>
      </w:pPr>
    </w:p>
    <w:p>
      <w:pPr>
        <w:pStyle w:val="9"/>
        <w:spacing w:before="66" w:line="360" w:lineRule="auto"/>
        <w:ind w:left="654"/>
        <w:rPr>
          <w:sz w:val="21"/>
          <w:szCs w:val="21"/>
        </w:rPr>
      </w:pPr>
      <w:r>
        <w:rPr>
          <w:sz w:val="21"/>
          <w:szCs w:val="21"/>
        </w:rPr>
        <w:t>本单位对上述声明的真实性负责。如有虚假，将依法承担相应责任。</w:t>
      </w:r>
    </w:p>
    <w:p>
      <w:pPr>
        <w:pStyle w:val="9"/>
        <w:tabs>
          <w:tab w:val="left" w:pos="6461"/>
          <w:tab w:val="left" w:pos="8556"/>
        </w:tabs>
        <w:spacing w:before="132" w:line="360" w:lineRule="auto"/>
        <w:ind w:left="5021" w:right="327"/>
        <w:rPr>
          <w:sz w:val="21"/>
          <w:szCs w:val="21"/>
          <w:u w:val="single"/>
        </w:rPr>
      </w:pPr>
      <w:r>
        <w:rPr>
          <w:sz w:val="21"/>
          <w:szCs w:val="21"/>
        </w:rPr>
        <w:t>供应商公章：</w:t>
      </w:r>
    </w:p>
    <w:p>
      <w:pPr>
        <w:pStyle w:val="9"/>
        <w:tabs>
          <w:tab w:val="left" w:pos="6461"/>
          <w:tab w:val="left" w:pos="8556"/>
        </w:tabs>
        <w:spacing w:before="132" w:line="360" w:lineRule="auto"/>
        <w:ind w:left="5021" w:right="327"/>
        <w:rPr>
          <w:sz w:val="21"/>
          <w:szCs w:val="21"/>
        </w:rPr>
        <w:sectPr>
          <w:pgSz w:w="11910" w:h="16840"/>
          <w:pgMar w:top="1400" w:right="1440" w:bottom="1220" w:left="1580" w:header="877" w:footer="1033" w:gutter="0"/>
          <w:cols w:space="720" w:num="1"/>
        </w:sectPr>
      </w:pPr>
      <w:r>
        <w:rPr>
          <w:sz w:val="21"/>
          <w:szCs w:val="21"/>
        </w:rPr>
        <w:t>日期：</w:t>
      </w:r>
      <w:r>
        <w:rPr>
          <w:sz w:val="21"/>
          <w:szCs w:val="21"/>
          <w:u w:val="single"/>
        </w:rPr>
        <w:t xml:space="preserve"> </w:t>
      </w:r>
      <w:r>
        <w:rPr>
          <w:sz w:val="21"/>
          <w:szCs w:val="21"/>
          <w:u w:val="single"/>
        </w:rPr>
        <w:tab/>
      </w:r>
    </w:p>
    <w:p>
      <w:pPr>
        <w:spacing w:before="240" w:beforeLines="100" w:after="240" w:afterLines="100"/>
        <w:jc w:val="center"/>
        <w:outlineLvl w:val="2"/>
        <w:rPr>
          <w:b/>
          <w:sz w:val="28"/>
          <w:szCs w:val="28"/>
        </w:rPr>
      </w:pPr>
      <w:r>
        <w:rPr>
          <w:b/>
          <w:sz w:val="28"/>
          <w:szCs w:val="28"/>
        </w:rPr>
        <w:t>五、授权书</w:t>
      </w:r>
    </w:p>
    <w:p>
      <w:pPr>
        <w:pStyle w:val="9"/>
        <w:spacing w:line="360" w:lineRule="auto"/>
        <w:rPr>
          <w:b/>
          <w:sz w:val="21"/>
          <w:szCs w:val="21"/>
        </w:rPr>
      </w:pPr>
    </w:p>
    <w:p>
      <w:pPr>
        <w:pStyle w:val="9"/>
        <w:spacing w:before="11" w:line="360" w:lineRule="auto"/>
        <w:rPr>
          <w:b/>
          <w:sz w:val="21"/>
          <w:szCs w:val="21"/>
        </w:rPr>
      </w:pPr>
    </w:p>
    <w:p>
      <w:pPr>
        <w:pStyle w:val="9"/>
        <w:spacing w:line="360" w:lineRule="auto"/>
        <w:rPr>
          <w:b/>
          <w:sz w:val="21"/>
          <w:szCs w:val="21"/>
          <w:lang w:val="en-US"/>
        </w:rPr>
      </w:pPr>
    </w:p>
    <w:p>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全权代表本公司处理竞争性磋商过程的一切事宜，包括但不限于：竞争性磋商、签约等。供应商代表在竞争性磋商过程中所签署的一切文件和处理与之有关的一切事务，本公司均予以认可并对此承担责任。被授权人无转委托权。特此授权。</w:t>
      </w:r>
    </w:p>
    <w:p>
      <w:pPr>
        <w:spacing w:line="360" w:lineRule="auto"/>
        <w:ind w:firstLine="645"/>
        <w:rPr>
          <w:rFonts w:ascii="宋体" w:hAnsi="宋体"/>
        </w:rPr>
      </w:pPr>
      <w:r>
        <w:rPr>
          <w:rFonts w:hint="eastAsia" w:ascii="宋体" w:hAnsi="宋体"/>
        </w:rPr>
        <w:t>本授权书自出具之日起生效。</w:t>
      </w:r>
    </w:p>
    <w:p>
      <w:pPr>
        <w:spacing w:line="360" w:lineRule="auto"/>
        <w:ind w:firstLine="645"/>
        <w:rPr>
          <w:rFonts w:ascii="宋体" w:hAnsi="宋体"/>
        </w:rPr>
      </w:pPr>
      <w:r>
        <w:rPr>
          <w:rFonts w:hint="eastAsia" w:ascii="宋体" w:hAnsi="宋体"/>
        </w:rPr>
        <w:t>特此声明。</w:t>
      </w:r>
    </w:p>
    <w:p>
      <w:pPr>
        <w:spacing w:line="360" w:lineRule="auto"/>
        <w:ind w:firstLine="645"/>
        <w:rPr>
          <w:rFonts w:ascii="宋体" w:hAnsi="宋体"/>
        </w:rPr>
      </w:pPr>
    </w:p>
    <w:p>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pPr>
        <w:spacing w:line="360" w:lineRule="auto"/>
        <w:ind w:firstLine="645"/>
        <w:rPr>
          <w:rFonts w:ascii="宋体" w:hAnsi="宋体"/>
        </w:rPr>
      </w:pPr>
    </w:p>
    <w:p>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供应商公章：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pPr>
        <w:spacing w:line="360" w:lineRule="auto"/>
        <w:rPr>
          <w:rFonts w:ascii="宋体" w:hAnsi="宋体" w:cs="Arial"/>
          <w:b/>
        </w:rPr>
      </w:pPr>
    </w:p>
    <w:p>
      <w:pPr>
        <w:pStyle w:val="9"/>
        <w:spacing w:before="66" w:line="360" w:lineRule="auto"/>
        <w:rPr>
          <w:sz w:val="21"/>
          <w:szCs w:val="21"/>
        </w:rPr>
      </w:pPr>
      <w:r>
        <w:rPr>
          <w:sz w:val="21"/>
          <w:szCs w:val="21"/>
        </w:rPr>
        <w:t>注：</w:t>
      </w:r>
    </w:p>
    <w:p>
      <w:pPr>
        <w:pStyle w:val="33"/>
        <w:numPr>
          <w:ilvl w:val="0"/>
          <w:numId w:val="27"/>
        </w:numPr>
        <w:tabs>
          <w:tab w:val="left" w:pos="896"/>
        </w:tabs>
        <w:spacing w:before="161" w:line="360" w:lineRule="auto"/>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pPr>
        <w:pStyle w:val="33"/>
        <w:numPr>
          <w:ilvl w:val="0"/>
          <w:numId w:val="27"/>
        </w:numPr>
        <w:tabs>
          <w:tab w:val="left" w:pos="462"/>
        </w:tabs>
        <w:spacing w:line="360" w:lineRule="auto"/>
        <w:rPr>
          <w:sz w:val="21"/>
          <w:szCs w:val="21"/>
        </w:rPr>
      </w:pPr>
      <w:r>
        <w:rPr>
          <w:sz w:val="21"/>
          <w:szCs w:val="21"/>
        </w:rPr>
        <w:t>法定代表人参加</w:t>
      </w:r>
      <w:r>
        <w:rPr>
          <w:rFonts w:hint="eastAsia"/>
          <w:sz w:val="21"/>
          <w:szCs w:val="21"/>
        </w:rPr>
        <w:t>竞争性磋商</w:t>
      </w:r>
      <w:r>
        <w:rPr>
          <w:sz w:val="21"/>
          <w:szCs w:val="21"/>
        </w:rPr>
        <w:t>的无需提供授权书，提供身份证明扫描件。</w:t>
      </w:r>
    </w:p>
    <w:p>
      <w:pPr>
        <w:spacing w:line="360" w:lineRule="auto"/>
        <w:rPr>
          <w:rFonts w:ascii="宋体" w:hAnsi="宋体"/>
        </w:rPr>
        <w:sectPr>
          <w:pgSz w:w="11910" w:h="16840"/>
          <w:pgMar w:top="1400" w:right="1440" w:bottom="1220" w:left="1580" w:header="877" w:footer="1033" w:gutter="0"/>
          <w:cols w:space="720" w:num="1"/>
        </w:sectPr>
      </w:pPr>
    </w:p>
    <w:p>
      <w:pPr>
        <w:spacing w:before="240" w:beforeLines="100" w:after="240" w:afterLines="100"/>
        <w:jc w:val="center"/>
        <w:outlineLvl w:val="2"/>
        <w:rPr>
          <w:b/>
          <w:sz w:val="28"/>
          <w:szCs w:val="28"/>
        </w:rPr>
      </w:pPr>
      <w:r>
        <w:rPr>
          <w:b/>
          <w:sz w:val="28"/>
          <w:szCs w:val="28"/>
        </w:rPr>
        <w:t>六、商务响应表</w:t>
      </w:r>
    </w:p>
    <w:p>
      <w:pPr>
        <w:pStyle w:val="9"/>
        <w:spacing w:line="360" w:lineRule="auto"/>
        <w:rPr>
          <w:b/>
          <w:sz w:val="21"/>
          <w:szCs w:val="21"/>
        </w:rPr>
      </w:pPr>
    </w:p>
    <w:p>
      <w:pPr>
        <w:pStyle w:val="9"/>
        <w:spacing w:before="11" w:line="360" w:lineRule="auto"/>
        <w:rPr>
          <w:b/>
          <w:sz w:val="21"/>
          <w:szCs w:val="21"/>
        </w:rPr>
      </w:pPr>
    </w:p>
    <w:tbl>
      <w:tblPr>
        <w:tblStyle w:val="2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pPr>
              <w:pStyle w:val="45"/>
              <w:spacing w:before="155" w:line="360" w:lineRule="auto"/>
              <w:ind w:left="101" w:right="92"/>
              <w:jc w:val="center"/>
              <w:rPr>
                <w:b/>
                <w:sz w:val="21"/>
                <w:szCs w:val="21"/>
                <w:lang w:eastAsia="en-US"/>
              </w:rPr>
            </w:pPr>
            <w:r>
              <w:rPr>
                <w:b/>
                <w:sz w:val="21"/>
                <w:szCs w:val="21"/>
                <w:lang w:eastAsia="en-US"/>
              </w:rPr>
              <w:t>序号</w:t>
            </w:r>
          </w:p>
        </w:tc>
        <w:tc>
          <w:tcPr>
            <w:tcW w:w="1916" w:type="dxa"/>
            <w:shd w:val="clear" w:color="auto" w:fill="auto"/>
          </w:tcPr>
          <w:p>
            <w:pPr>
              <w:pStyle w:val="45"/>
              <w:spacing w:before="155" w:line="360" w:lineRule="auto"/>
              <w:ind w:left="454" w:right="447"/>
              <w:jc w:val="center"/>
              <w:rPr>
                <w:b/>
                <w:sz w:val="21"/>
                <w:szCs w:val="21"/>
                <w:lang w:eastAsia="en-US"/>
              </w:rPr>
            </w:pPr>
            <w:r>
              <w:rPr>
                <w:b/>
                <w:sz w:val="21"/>
                <w:szCs w:val="21"/>
                <w:lang w:eastAsia="en-US"/>
              </w:rPr>
              <w:t>商务条款</w:t>
            </w:r>
          </w:p>
        </w:tc>
        <w:tc>
          <w:tcPr>
            <w:tcW w:w="2497" w:type="dxa"/>
            <w:shd w:val="clear" w:color="auto" w:fill="auto"/>
          </w:tcPr>
          <w:p>
            <w:pPr>
              <w:pStyle w:val="45"/>
              <w:spacing w:before="155" w:line="360" w:lineRule="auto"/>
              <w:ind w:left="524"/>
              <w:rPr>
                <w:b/>
                <w:sz w:val="21"/>
                <w:szCs w:val="21"/>
                <w:lang w:eastAsia="en-US"/>
              </w:rPr>
            </w:pPr>
            <w:r>
              <w:rPr>
                <w:b/>
                <w:sz w:val="21"/>
                <w:szCs w:val="21"/>
                <w:lang w:eastAsia="en-US"/>
              </w:rPr>
              <w:t>竞争性磋商文件要求</w:t>
            </w:r>
          </w:p>
        </w:tc>
        <w:tc>
          <w:tcPr>
            <w:tcW w:w="2576" w:type="dxa"/>
            <w:shd w:val="clear" w:color="auto" w:fill="auto"/>
          </w:tcPr>
          <w:p>
            <w:pPr>
              <w:pStyle w:val="45"/>
              <w:spacing w:before="155" w:line="360" w:lineRule="auto"/>
              <w:ind w:left="682"/>
              <w:rPr>
                <w:b/>
                <w:sz w:val="21"/>
                <w:szCs w:val="21"/>
                <w:lang w:eastAsia="en-US"/>
              </w:rPr>
            </w:pPr>
            <w:r>
              <w:rPr>
                <w:b/>
                <w:sz w:val="21"/>
                <w:szCs w:val="21"/>
                <w:lang w:eastAsia="en-US"/>
              </w:rPr>
              <w:t>供应商承诺</w:t>
            </w:r>
          </w:p>
        </w:tc>
        <w:tc>
          <w:tcPr>
            <w:tcW w:w="811" w:type="dxa"/>
            <w:shd w:val="clear" w:color="auto" w:fill="auto"/>
          </w:tcPr>
          <w:p>
            <w:pPr>
              <w:pStyle w:val="45"/>
              <w:spacing w:line="360" w:lineRule="auto"/>
              <w:ind w:left="161"/>
              <w:rPr>
                <w:b/>
                <w:sz w:val="21"/>
                <w:szCs w:val="21"/>
                <w:lang w:eastAsia="en-US"/>
              </w:rPr>
            </w:pPr>
            <w:r>
              <w:rPr>
                <w:b/>
                <w:sz w:val="21"/>
                <w:szCs w:val="21"/>
                <w:lang w:eastAsia="en-US"/>
              </w:rPr>
              <w:t>偏离</w:t>
            </w:r>
          </w:p>
          <w:p>
            <w:pPr>
              <w:pStyle w:val="45"/>
              <w:spacing w:before="4" w:line="360" w:lineRule="auto"/>
              <w:ind w:left="161"/>
              <w:rPr>
                <w:b/>
                <w:sz w:val="21"/>
                <w:szCs w:val="21"/>
                <w:lang w:eastAsia="en-US"/>
              </w:rPr>
            </w:pPr>
            <w:r>
              <w:rPr>
                <w:b/>
                <w:sz w:val="21"/>
                <w:szCs w:val="21"/>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45"/>
              <w:spacing w:before="71" w:line="360" w:lineRule="auto"/>
              <w:ind w:left="9"/>
              <w:jc w:val="center"/>
              <w:rPr>
                <w:sz w:val="21"/>
                <w:szCs w:val="21"/>
                <w:lang w:eastAsia="en-US"/>
              </w:rPr>
            </w:pPr>
            <w:r>
              <w:rPr>
                <w:sz w:val="21"/>
                <w:szCs w:val="21"/>
                <w:lang w:eastAsia="en-US"/>
              </w:rPr>
              <w:t>1</w:t>
            </w:r>
          </w:p>
        </w:tc>
        <w:tc>
          <w:tcPr>
            <w:tcW w:w="1916" w:type="dxa"/>
            <w:shd w:val="clear" w:color="auto" w:fill="auto"/>
          </w:tcPr>
          <w:p>
            <w:pPr>
              <w:pStyle w:val="45"/>
              <w:spacing w:before="71" w:line="360" w:lineRule="auto"/>
              <w:ind w:left="454" w:right="446"/>
              <w:jc w:val="center"/>
              <w:rPr>
                <w:sz w:val="21"/>
                <w:szCs w:val="21"/>
                <w:lang w:eastAsia="en-US"/>
              </w:rPr>
            </w:pPr>
            <w:r>
              <w:rPr>
                <w:sz w:val="21"/>
                <w:szCs w:val="21"/>
                <w:lang w:eastAsia="en-US"/>
              </w:rPr>
              <w:t>付款方式</w:t>
            </w:r>
          </w:p>
        </w:tc>
        <w:tc>
          <w:tcPr>
            <w:tcW w:w="2497" w:type="dxa"/>
            <w:shd w:val="clear" w:color="auto" w:fill="auto"/>
          </w:tcPr>
          <w:p>
            <w:pPr>
              <w:pStyle w:val="45"/>
              <w:spacing w:line="360" w:lineRule="auto"/>
              <w:rPr>
                <w:sz w:val="21"/>
                <w:szCs w:val="21"/>
                <w:lang w:eastAsia="en-US"/>
              </w:rPr>
            </w:pPr>
          </w:p>
        </w:tc>
        <w:tc>
          <w:tcPr>
            <w:tcW w:w="2576" w:type="dxa"/>
            <w:shd w:val="clear" w:color="auto" w:fill="auto"/>
          </w:tcPr>
          <w:p>
            <w:pPr>
              <w:pStyle w:val="45"/>
              <w:spacing w:line="360" w:lineRule="auto"/>
              <w:rPr>
                <w:sz w:val="21"/>
                <w:szCs w:val="21"/>
                <w:lang w:eastAsia="en-US"/>
              </w:rPr>
            </w:pPr>
          </w:p>
        </w:tc>
        <w:tc>
          <w:tcPr>
            <w:tcW w:w="811"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45"/>
              <w:spacing w:before="72" w:line="360" w:lineRule="auto"/>
              <w:ind w:left="9"/>
              <w:jc w:val="center"/>
              <w:rPr>
                <w:sz w:val="21"/>
                <w:szCs w:val="21"/>
                <w:lang w:eastAsia="en-US"/>
              </w:rPr>
            </w:pPr>
            <w:r>
              <w:rPr>
                <w:sz w:val="21"/>
                <w:szCs w:val="21"/>
                <w:lang w:eastAsia="en-US"/>
              </w:rPr>
              <w:t>2</w:t>
            </w:r>
          </w:p>
        </w:tc>
        <w:tc>
          <w:tcPr>
            <w:tcW w:w="1916" w:type="dxa"/>
            <w:shd w:val="clear" w:color="auto" w:fill="auto"/>
          </w:tcPr>
          <w:p>
            <w:pPr>
              <w:pStyle w:val="45"/>
              <w:spacing w:before="72" w:line="360" w:lineRule="auto"/>
              <w:ind w:left="454" w:right="446"/>
              <w:jc w:val="center"/>
              <w:rPr>
                <w:sz w:val="21"/>
                <w:szCs w:val="21"/>
                <w:lang w:eastAsia="en-US"/>
              </w:rPr>
            </w:pPr>
            <w:r>
              <w:rPr>
                <w:sz w:val="21"/>
                <w:szCs w:val="21"/>
                <w:lang w:eastAsia="en-US"/>
              </w:rPr>
              <w:t>服务地点</w:t>
            </w:r>
          </w:p>
        </w:tc>
        <w:tc>
          <w:tcPr>
            <w:tcW w:w="2497" w:type="dxa"/>
            <w:shd w:val="clear" w:color="auto" w:fill="auto"/>
          </w:tcPr>
          <w:p>
            <w:pPr>
              <w:pStyle w:val="45"/>
              <w:spacing w:line="360" w:lineRule="auto"/>
              <w:rPr>
                <w:sz w:val="21"/>
                <w:szCs w:val="21"/>
                <w:lang w:eastAsia="en-US"/>
              </w:rPr>
            </w:pPr>
          </w:p>
        </w:tc>
        <w:tc>
          <w:tcPr>
            <w:tcW w:w="2576" w:type="dxa"/>
            <w:shd w:val="clear" w:color="auto" w:fill="auto"/>
          </w:tcPr>
          <w:p>
            <w:pPr>
              <w:pStyle w:val="45"/>
              <w:spacing w:line="360" w:lineRule="auto"/>
              <w:rPr>
                <w:sz w:val="21"/>
                <w:szCs w:val="21"/>
                <w:lang w:eastAsia="en-US"/>
              </w:rPr>
            </w:pPr>
          </w:p>
        </w:tc>
        <w:tc>
          <w:tcPr>
            <w:tcW w:w="811"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45"/>
              <w:spacing w:before="71" w:line="360" w:lineRule="auto"/>
              <w:ind w:left="9"/>
              <w:jc w:val="center"/>
              <w:rPr>
                <w:sz w:val="21"/>
                <w:szCs w:val="21"/>
                <w:lang w:eastAsia="en-US"/>
              </w:rPr>
            </w:pPr>
            <w:r>
              <w:rPr>
                <w:sz w:val="21"/>
                <w:szCs w:val="21"/>
                <w:lang w:eastAsia="en-US"/>
              </w:rPr>
              <w:t>3</w:t>
            </w:r>
          </w:p>
        </w:tc>
        <w:tc>
          <w:tcPr>
            <w:tcW w:w="1916" w:type="dxa"/>
            <w:shd w:val="clear" w:color="auto" w:fill="auto"/>
          </w:tcPr>
          <w:p>
            <w:pPr>
              <w:pStyle w:val="45"/>
              <w:spacing w:before="71" w:line="360" w:lineRule="auto"/>
              <w:ind w:left="454" w:right="446"/>
              <w:jc w:val="center"/>
              <w:rPr>
                <w:sz w:val="21"/>
                <w:szCs w:val="21"/>
                <w:lang w:eastAsia="en-US"/>
              </w:rPr>
            </w:pPr>
            <w:r>
              <w:rPr>
                <w:rFonts w:hint="eastAsia"/>
                <w:sz w:val="21"/>
                <w:szCs w:val="21"/>
                <w:lang w:val="en-US"/>
              </w:rPr>
              <w:t>监理服务</w:t>
            </w:r>
            <w:r>
              <w:rPr>
                <w:sz w:val="21"/>
                <w:szCs w:val="21"/>
                <w:lang w:eastAsia="en-US"/>
              </w:rPr>
              <w:t>期限</w:t>
            </w:r>
          </w:p>
        </w:tc>
        <w:tc>
          <w:tcPr>
            <w:tcW w:w="2497" w:type="dxa"/>
            <w:shd w:val="clear" w:color="auto" w:fill="auto"/>
          </w:tcPr>
          <w:p>
            <w:pPr>
              <w:pStyle w:val="45"/>
              <w:spacing w:line="360" w:lineRule="auto"/>
              <w:rPr>
                <w:sz w:val="21"/>
                <w:szCs w:val="21"/>
                <w:lang w:eastAsia="en-US"/>
              </w:rPr>
            </w:pPr>
          </w:p>
        </w:tc>
        <w:tc>
          <w:tcPr>
            <w:tcW w:w="2576" w:type="dxa"/>
            <w:shd w:val="clear" w:color="auto" w:fill="auto"/>
          </w:tcPr>
          <w:p>
            <w:pPr>
              <w:pStyle w:val="45"/>
              <w:spacing w:line="360" w:lineRule="auto"/>
              <w:rPr>
                <w:sz w:val="21"/>
                <w:szCs w:val="21"/>
                <w:lang w:eastAsia="en-US"/>
              </w:rPr>
            </w:pPr>
          </w:p>
        </w:tc>
        <w:tc>
          <w:tcPr>
            <w:tcW w:w="811" w:type="dxa"/>
            <w:shd w:val="clear" w:color="auto" w:fill="auto"/>
          </w:tcPr>
          <w:p>
            <w:pPr>
              <w:pStyle w:val="4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45"/>
              <w:spacing w:before="71" w:line="360" w:lineRule="auto"/>
              <w:ind w:left="9"/>
              <w:jc w:val="center"/>
              <w:rPr>
                <w:sz w:val="21"/>
                <w:szCs w:val="21"/>
              </w:rPr>
            </w:pPr>
            <w:r>
              <w:rPr>
                <w:rFonts w:hint="eastAsia"/>
                <w:sz w:val="21"/>
                <w:szCs w:val="21"/>
                <w:lang w:val="en-US"/>
              </w:rPr>
              <w:t>4</w:t>
            </w:r>
          </w:p>
        </w:tc>
        <w:tc>
          <w:tcPr>
            <w:tcW w:w="1916" w:type="dxa"/>
            <w:shd w:val="clear" w:color="auto" w:fill="auto"/>
          </w:tcPr>
          <w:p>
            <w:pPr>
              <w:pStyle w:val="45"/>
              <w:spacing w:before="71" w:line="360" w:lineRule="auto"/>
              <w:ind w:left="9"/>
              <w:jc w:val="center"/>
              <w:rPr>
                <w:sz w:val="21"/>
                <w:szCs w:val="21"/>
                <w:lang w:eastAsia="en-US"/>
              </w:rPr>
            </w:pPr>
            <w:r>
              <w:rPr>
                <w:rFonts w:hint="eastAsia"/>
                <w:sz w:val="21"/>
                <w:szCs w:val="21"/>
                <w:lang w:val="en-US"/>
              </w:rPr>
              <w:t>监理服务质量要求</w:t>
            </w:r>
          </w:p>
        </w:tc>
        <w:tc>
          <w:tcPr>
            <w:tcW w:w="2497" w:type="dxa"/>
            <w:shd w:val="clear" w:color="auto" w:fill="auto"/>
          </w:tcPr>
          <w:p>
            <w:pPr>
              <w:pStyle w:val="45"/>
              <w:spacing w:line="360" w:lineRule="auto"/>
              <w:rPr>
                <w:sz w:val="21"/>
                <w:szCs w:val="21"/>
                <w:lang w:eastAsia="en-US"/>
              </w:rPr>
            </w:pPr>
          </w:p>
        </w:tc>
        <w:tc>
          <w:tcPr>
            <w:tcW w:w="2576" w:type="dxa"/>
            <w:shd w:val="clear" w:color="auto" w:fill="auto"/>
          </w:tcPr>
          <w:p>
            <w:pPr>
              <w:pStyle w:val="45"/>
              <w:spacing w:line="360" w:lineRule="auto"/>
              <w:rPr>
                <w:sz w:val="21"/>
                <w:szCs w:val="21"/>
                <w:lang w:eastAsia="en-US"/>
              </w:rPr>
            </w:pPr>
          </w:p>
        </w:tc>
        <w:tc>
          <w:tcPr>
            <w:tcW w:w="811" w:type="dxa"/>
            <w:shd w:val="clear" w:color="auto" w:fill="auto"/>
          </w:tcPr>
          <w:p>
            <w:pPr>
              <w:pStyle w:val="45"/>
              <w:spacing w:line="360" w:lineRule="auto"/>
              <w:rPr>
                <w:sz w:val="21"/>
                <w:szCs w:val="21"/>
                <w:lang w:eastAsia="en-US"/>
              </w:rPr>
            </w:pPr>
          </w:p>
        </w:tc>
      </w:tr>
    </w:tbl>
    <w:p>
      <w:pPr>
        <w:spacing w:line="360" w:lineRule="auto"/>
        <w:rPr>
          <w:rFonts w:ascii="宋体" w:hAnsi="宋体"/>
        </w:rPr>
        <w:sectPr>
          <w:pgSz w:w="11910" w:h="16840"/>
          <w:pgMar w:top="1400" w:right="1440" w:bottom="1220" w:left="1580" w:header="877" w:footer="1033" w:gutter="0"/>
          <w:cols w:space="720" w:num="1"/>
        </w:sectPr>
      </w:pPr>
    </w:p>
    <w:p>
      <w:pPr>
        <w:spacing w:before="240" w:beforeLines="100" w:after="240" w:afterLines="100"/>
        <w:jc w:val="center"/>
        <w:outlineLvl w:val="2"/>
        <w:rPr>
          <w:b/>
          <w:sz w:val="28"/>
          <w:szCs w:val="28"/>
        </w:rPr>
      </w:pPr>
      <w:r>
        <w:rPr>
          <w:b/>
          <w:sz w:val="28"/>
          <w:szCs w:val="28"/>
        </w:rPr>
        <w:t>七、人员配备</w:t>
      </w:r>
    </w:p>
    <w:p>
      <w:pPr>
        <w:rPr>
          <w:rFonts w:ascii="宋体" w:hAnsi="宋体"/>
          <w:b/>
        </w:rPr>
      </w:pPr>
      <w:r>
        <w:rPr>
          <w:rFonts w:ascii="宋体" w:hAnsi="宋体"/>
          <w:b/>
        </w:rPr>
        <w:t>(供应商可自行制作格式)</w:t>
      </w:r>
    </w:p>
    <w:p>
      <w:pPr>
        <w:spacing w:line="360" w:lineRule="auto"/>
        <w:rPr>
          <w:rFonts w:ascii="宋体" w:hAnsi="宋体"/>
        </w:rPr>
        <w:sectPr>
          <w:pgSz w:w="11910" w:h="16840"/>
          <w:pgMar w:top="1400" w:right="1440" w:bottom="1220" w:left="1580" w:header="877" w:footer="1033" w:gutter="0"/>
          <w:cols w:space="720" w:num="1"/>
        </w:sectPr>
      </w:pPr>
    </w:p>
    <w:p>
      <w:pPr>
        <w:numPr>
          <w:ilvl w:val="0"/>
          <w:numId w:val="28"/>
        </w:numPr>
        <w:adjustRightInd w:val="0"/>
        <w:snapToGrid w:val="0"/>
        <w:spacing w:before="48" w:beforeLines="20" w:after="48" w:afterLines="20" w:line="540" w:lineRule="exact"/>
        <w:jc w:val="center"/>
        <w:rPr>
          <w:rFonts w:ascii="宋体" w:hAnsi="宋体"/>
          <w:b/>
          <w:sz w:val="30"/>
          <w:szCs w:val="30"/>
        </w:rPr>
      </w:pPr>
      <w:r>
        <w:rPr>
          <w:rFonts w:hint="eastAsia" w:ascii="宋体" w:hAnsi="宋体"/>
          <w:b/>
          <w:sz w:val="30"/>
          <w:szCs w:val="30"/>
        </w:rPr>
        <w:t>监理大纲</w:t>
      </w:r>
    </w:p>
    <w:p>
      <w:pPr>
        <w:rPr>
          <w:rFonts w:ascii="宋体" w:hAnsi="宋体"/>
          <w:b/>
        </w:rPr>
      </w:pPr>
      <w:r>
        <w:rPr>
          <w:rFonts w:hint="eastAsia" w:ascii="宋体" w:hAnsi="宋体"/>
          <w:b/>
        </w:rPr>
        <w:t>（根据文件要求，可自行扩展）</w:t>
      </w: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p>
    <w:p>
      <w:pPr>
        <w:spacing w:before="240" w:beforeLines="100" w:after="240" w:afterLines="100"/>
        <w:jc w:val="center"/>
        <w:outlineLvl w:val="2"/>
        <w:rPr>
          <w:b/>
          <w:sz w:val="28"/>
          <w:szCs w:val="28"/>
        </w:rPr>
      </w:pPr>
      <w:r>
        <w:rPr>
          <w:rFonts w:hint="eastAsia"/>
          <w:b/>
          <w:sz w:val="28"/>
          <w:szCs w:val="28"/>
        </w:rPr>
        <w:t>九</w:t>
      </w:r>
      <w:r>
        <w:rPr>
          <w:b/>
          <w:sz w:val="28"/>
          <w:szCs w:val="28"/>
        </w:rPr>
        <w:t>、服务方案</w:t>
      </w:r>
    </w:p>
    <w:p>
      <w:pPr>
        <w:rPr>
          <w:rFonts w:ascii="宋体" w:hAnsi="宋体"/>
          <w:b/>
        </w:rPr>
      </w:pPr>
      <w:r>
        <w:rPr>
          <w:rFonts w:ascii="宋体" w:hAnsi="宋体"/>
          <w:b/>
        </w:rPr>
        <w:t>(供应商可自行制作格式)</w:t>
      </w:r>
    </w:p>
    <w:p>
      <w:pPr>
        <w:spacing w:line="360" w:lineRule="auto"/>
        <w:rPr>
          <w:rFonts w:ascii="宋体" w:hAnsi="宋体"/>
        </w:rPr>
        <w:sectPr>
          <w:pgSz w:w="11910" w:h="16840"/>
          <w:pgMar w:top="1400" w:right="1440" w:bottom="1220" w:left="1580" w:header="877" w:footer="1033" w:gutter="0"/>
          <w:cols w:space="720" w:num="1"/>
        </w:sectPr>
      </w:pPr>
    </w:p>
    <w:p>
      <w:pPr>
        <w:spacing w:before="240" w:beforeLines="100" w:after="240" w:afterLines="100"/>
        <w:jc w:val="center"/>
        <w:outlineLvl w:val="2"/>
        <w:rPr>
          <w:b/>
          <w:sz w:val="28"/>
          <w:szCs w:val="28"/>
        </w:rPr>
      </w:pPr>
      <w:r>
        <w:rPr>
          <w:rFonts w:hint="eastAsia"/>
          <w:b/>
          <w:sz w:val="28"/>
          <w:szCs w:val="28"/>
        </w:rPr>
        <w:t>十</w:t>
      </w:r>
      <w:r>
        <w:rPr>
          <w:b/>
          <w:sz w:val="28"/>
          <w:szCs w:val="28"/>
        </w:rPr>
        <w:t>、服务承诺</w:t>
      </w:r>
    </w:p>
    <w:p>
      <w:pPr>
        <w:rPr>
          <w:rFonts w:ascii="宋体" w:hAnsi="宋体"/>
          <w:b/>
        </w:rPr>
      </w:pPr>
      <w:r>
        <w:rPr>
          <w:rFonts w:ascii="宋体" w:hAnsi="宋体"/>
          <w:b/>
        </w:rPr>
        <w:t>(供应商可自行制作格式)</w:t>
      </w:r>
    </w:p>
    <w:p>
      <w:pPr>
        <w:spacing w:line="360" w:lineRule="auto"/>
        <w:rPr>
          <w:rFonts w:ascii="宋体" w:hAnsi="宋体"/>
        </w:rPr>
        <w:sectPr>
          <w:pgSz w:w="11910" w:h="16840"/>
          <w:pgMar w:top="1400" w:right="1440" w:bottom="1220" w:left="1580" w:header="877" w:footer="1033" w:gutter="0"/>
          <w:cols w:space="720" w:num="1"/>
        </w:sectPr>
      </w:pPr>
    </w:p>
    <w:p>
      <w:pPr>
        <w:spacing w:before="312" w:beforeLines="100" w:after="312" w:afterLines="100"/>
        <w:jc w:val="center"/>
        <w:outlineLvl w:val="2"/>
        <w:rPr>
          <w:b/>
          <w:sz w:val="28"/>
          <w:szCs w:val="28"/>
        </w:rPr>
      </w:pPr>
      <w:r>
        <w:rPr>
          <w:b/>
          <w:sz w:val="28"/>
          <w:szCs w:val="28"/>
        </w:rPr>
        <w:t>十</w:t>
      </w:r>
      <w:r>
        <w:rPr>
          <w:rFonts w:hint="eastAsia"/>
          <w:b/>
          <w:sz w:val="28"/>
          <w:szCs w:val="28"/>
        </w:rPr>
        <w:t>一</w:t>
      </w:r>
      <w:r>
        <w:rPr>
          <w:b/>
          <w:sz w:val="28"/>
          <w:szCs w:val="28"/>
        </w:rPr>
        <w:t>、其他相关证明材料</w:t>
      </w:r>
    </w:p>
    <w:p>
      <w:pPr>
        <w:pStyle w:val="9"/>
        <w:spacing w:before="160" w:line="360" w:lineRule="auto"/>
        <w:ind w:left="220" w:right="361" w:firstLine="479"/>
        <w:rPr>
          <w:sz w:val="21"/>
          <w:szCs w:val="21"/>
        </w:rPr>
      </w:pPr>
      <w:r>
        <w:rPr>
          <w:sz w:val="21"/>
          <w:szCs w:val="21"/>
        </w:rPr>
        <w:t>提供符合竞争性磋商邀请（竞争性磋商公告</w:t>
      </w:r>
      <w:r>
        <w:rPr>
          <w:spacing w:val="-118"/>
          <w:sz w:val="21"/>
          <w:szCs w:val="21"/>
        </w:rPr>
        <w:t>）</w:t>
      </w:r>
      <w:r>
        <w:rPr>
          <w:spacing w:val="-1"/>
          <w:sz w:val="21"/>
          <w:szCs w:val="21"/>
        </w:rPr>
        <w:t>、采购需求及评审方法和标准规定的相关证</w:t>
      </w:r>
      <w:r>
        <w:rPr>
          <w:sz w:val="21"/>
          <w:szCs w:val="21"/>
        </w:rPr>
        <w:t>明文件。</w:t>
      </w:r>
    </w:p>
    <w:p>
      <w:pPr>
        <w:pStyle w:val="9"/>
        <w:spacing w:line="360" w:lineRule="auto"/>
        <w:rPr>
          <w:sz w:val="21"/>
          <w:szCs w:val="21"/>
        </w:rPr>
      </w:pPr>
    </w:p>
    <w:p>
      <w:pPr>
        <w:pStyle w:val="9"/>
        <w:spacing w:line="360" w:lineRule="auto"/>
        <w:rPr>
          <w:sz w:val="21"/>
          <w:szCs w:val="21"/>
        </w:rPr>
      </w:pPr>
    </w:p>
    <w:p>
      <w:pPr>
        <w:pStyle w:val="9"/>
        <w:spacing w:before="2" w:line="360" w:lineRule="auto"/>
        <w:rPr>
          <w:b/>
          <w:sz w:val="28"/>
          <w:szCs w:val="28"/>
        </w:rPr>
      </w:pPr>
    </w:p>
    <w:p>
      <w:pPr>
        <w:spacing w:before="312" w:beforeLines="100" w:after="312" w:afterLines="100" w:line="360" w:lineRule="auto"/>
        <w:jc w:val="center"/>
        <w:rPr>
          <w:b/>
          <w:sz w:val="28"/>
          <w:szCs w:val="28"/>
        </w:rPr>
      </w:pPr>
      <w:r>
        <w:rPr>
          <w:b/>
          <w:sz w:val="28"/>
          <w:szCs w:val="28"/>
        </w:rPr>
        <w:t>特别提示：</w:t>
      </w:r>
    </w:p>
    <w:p>
      <w:pPr>
        <w:pStyle w:val="9"/>
        <w:spacing w:before="161" w:line="360" w:lineRule="auto"/>
        <w:ind w:left="220" w:right="359" w:firstLine="434"/>
        <w:jc w:val="both"/>
        <w:rPr>
          <w:sz w:val="21"/>
          <w:szCs w:val="21"/>
        </w:rPr>
      </w:pPr>
      <w:r>
        <w:rPr>
          <w:rFonts w:hint="eastAsia"/>
          <w:spacing w:val="-4"/>
          <w:sz w:val="21"/>
          <w:szCs w:val="21"/>
        </w:rPr>
        <w:t>供应商在响应文件制作时可在此栏内放入竞争性磋商文件要求的证明资料</w:t>
      </w:r>
      <w:r>
        <w:rPr>
          <w:spacing w:val="-4"/>
          <w:sz w:val="21"/>
          <w:szCs w:val="21"/>
        </w:rPr>
        <w:t>，如</w:t>
      </w:r>
      <w:r>
        <w:rPr>
          <w:spacing w:val="-10"/>
          <w:sz w:val="21"/>
          <w:szCs w:val="21"/>
        </w:rPr>
        <w:t>营业执照、税务登记证、人员证书、资质证书、荣誉奖项等，</w:t>
      </w:r>
      <w:r>
        <w:rPr>
          <w:rFonts w:hint="eastAsia"/>
          <w:spacing w:val="-10"/>
          <w:sz w:val="21"/>
          <w:szCs w:val="21"/>
        </w:rPr>
        <w:t>应将上述证明材料制作成扫描件或复印件放入响应文件</w:t>
      </w:r>
      <w:r>
        <w:rPr>
          <w:sz w:val="21"/>
          <w:szCs w:val="21"/>
        </w:rPr>
        <w:t>。</w:t>
      </w:r>
    </w:p>
    <w:p>
      <w:pPr>
        <w:spacing w:line="360" w:lineRule="auto"/>
        <w:rPr>
          <w:rFonts w:ascii="宋体" w:hAnsi="宋体"/>
        </w:rPr>
      </w:pPr>
    </w:p>
    <w:p>
      <w:pPr>
        <w:widowControl/>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OIwOzbPAQAApAMAAA4AAABkcnMvZTJvRG9jLnhtbK1TS27bMBDdF+gd&#10;CO5ryQZSOILloIWRokDRBEhzAJoaWQT4A4e25Au0N8iqm+57Lp+jQ0p2inSTRTfUfB/nPY5WN4PR&#10;7AABlbM1n89KzsBK1yi7q/njt9t3S84wCtsI7SzU/AjIb9Zv36x6X8HCdU43EBiBWKx6X/MuRl8V&#10;BcoOjMCZ82Ap2bpgRCQ37IomiJ7QjS4WZfm+6F1ofHASECm6GZN8QgyvAXRtqyRsnNwbsHFEDaBF&#10;JErYKY98nadtW5Dxrm0RItM1J6Yxn3QJ2dt0FuuVqHZB+E7JaQTxmhFecDJCWbr0ArURUbB9UP9A&#10;GSWDQ9fGmXSmGIlkRYjFvHyhzUMnPGQuJDX6i+j4/2Dl18N9YKqhTeDMCkMPfnr6cfr5+/TrO5sn&#10;eXqPFVU9eKqLw0c3pNIpjhRMrIc2mPQlPozyJO7xIi4MkcnUtFwslyWlJOXODuEUz+0+YPwEzrBk&#10;1DzQ62VRxeELxrH0XJJus+5WaU1xUWnL+ppfXy2ucsMlQ+DapgLIuzDBJErj6MmKw3aY+GxdcySa&#10;Pe1DzS2tP2f6syW50+qcjXA2tpOR8NF/2EeaJ4+ZUEcoopccerxMdFq0tB1/+7nq+ed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nqzVF0AAAAAMBAAAPAAAAAAAAAAEAIAAAACIAAABkcnMvZG93&#10;bnJldi54bWxQSwECFAAUAAAACACHTuJA4jA7Ns8BAACkAwAADgAAAAAAAAABACAAAAAfAQAAZHJz&#10;L2Uyb0RvYy54bWxQSwUGAAAAAAYABgBZAQAAY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0AB7F"/>
    <w:multiLevelType w:val="singleLevel"/>
    <w:tmpl w:val="D8E0AB7F"/>
    <w:lvl w:ilvl="0" w:tentative="0">
      <w:start w:val="5"/>
      <w:numFmt w:val="chineseCounting"/>
      <w:suff w:val="space"/>
      <w:lvlText w:val="第%1章"/>
      <w:lvlJc w:val="left"/>
      <w:rPr>
        <w:rFonts w:hint="eastAsia"/>
      </w:rPr>
    </w:lvl>
  </w:abstractNum>
  <w:abstractNum w:abstractNumId="1">
    <w:nsid w:val="EB3F7978"/>
    <w:multiLevelType w:val="singleLevel"/>
    <w:tmpl w:val="EB3F7978"/>
    <w:lvl w:ilvl="0" w:tentative="0">
      <w:start w:val="8"/>
      <w:numFmt w:val="chineseCounting"/>
      <w:suff w:val="nothing"/>
      <w:lvlText w:val="%1、"/>
      <w:lvlJc w:val="left"/>
      <w:rPr>
        <w:rFonts w:hint="eastAsia"/>
      </w:rPr>
    </w:lvl>
  </w:abstractNum>
  <w:abstractNum w:abstractNumId="2">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3">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4">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5">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6">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7">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8">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9">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0">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1">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2">
    <w:nsid w:val="30F14D9A"/>
    <w:multiLevelType w:val="multilevel"/>
    <w:tmpl w:val="30F14D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B0E559C"/>
    <w:multiLevelType w:val="multilevel"/>
    <w:tmpl w:val="3B0E559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4">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5">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6">
    <w:nsid w:val="4AC51071"/>
    <w:multiLevelType w:val="singleLevel"/>
    <w:tmpl w:val="4AC51071"/>
    <w:lvl w:ilvl="0" w:tentative="0">
      <w:start w:val="2"/>
      <w:numFmt w:val="decimal"/>
      <w:suff w:val="nothing"/>
      <w:lvlText w:val="%1、"/>
      <w:lvlJc w:val="left"/>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61FB2ACF"/>
    <w:multiLevelType w:val="multilevel"/>
    <w:tmpl w:val="61FB2ACF"/>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4">
    <w:nsid w:val="6E516EBA"/>
    <w:multiLevelType w:val="multilevel"/>
    <w:tmpl w:val="6E516EBA"/>
    <w:lvl w:ilvl="0" w:tentative="0">
      <w:start w:val="1"/>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25">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26">
    <w:nsid w:val="77A556E7"/>
    <w:multiLevelType w:val="multilevel"/>
    <w:tmpl w:val="77A556E7"/>
    <w:lvl w:ilvl="0" w:tentative="0">
      <w:start w:val="11"/>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7">
    <w:nsid w:val="7A1C691F"/>
    <w:multiLevelType w:val="multilevel"/>
    <w:tmpl w:val="7A1C691F"/>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89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1787" w:hanging="241"/>
      </w:pPr>
      <w:rPr>
        <w:rFonts w:hint="default"/>
        <w:lang w:val="zh-CN" w:eastAsia="zh-CN" w:bidi="zh-CN"/>
      </w:rPr>
    </w:lvl>
    <w:lvl w:ilvl="3" w:tentative="0">
      <w:start w:val="0"/>
      <w:numFmt w:val="bullet"/>
      <w:lvlText w:val="•"/>
      <w:lvlJc w:val="left"/>
      <w:pPr>
        <w:ind w:left="2674" w:hanging="241"/>
      </w:pPr>
      <w:rPr>
        <w:rFonts w:hint="default"/>
        <w:lang w:val="zh-CN" w:eastAsia="zh-CN" w:bidi="zh-CN"/>
      </w:rPr>
    </w:lvl>
    <w:lvl w:ilvl="4" w:tentative="0">
      <w:start w:val="0"/>
      <w:numFmt w:val="bullet"/>
      <w:lvlText w:val="•"/>
      <w:lvlJc w:val="left"/>
      <w:pPr>
        <w:ind w:left="3562" w:hanging="241"/>
      </w:pPr>
      <w:rPr>
        <w:rFonts w:hint="default"/>
        <w:lang w:val="zh-CN" w:eastAsia="zh-CN" w:bidi="zh-CN"/>
      </w:rPr>
    </w:lvl>
    <w:lvl w:ilvl="5" w:tentative="0">
      <w:start w:val="0"/>
      <w:numFmt w:val="bullet"/>
      <w:lvlText w:val="•"/>
      <w:lvlJc w:val="left"/>
      <w:pPr>
        <w:ind w:left="4449" w:hanging="241"/>
      </w:pPr>
      <w:rPr>
        <w:rFonts w:hint="default"/>
        <w:lang w:val="zh-CN" w:eastAsia="zh-CN" w:bidi="zh-CN"/>
      </w:rPr>
    </w:lvl>
    <w:lvl w:ilvl="6" w:tentative="0">
      <w:start w:val="0"/>
      <w:numFmt w:val="bullet"/>
      <w:lvlText w:val="•"/>
      <w:lvlJc w:val="left"/>
      <w:pPr>
        <w:ind w:left="5336" w:hanging="241"/>
      </w:pPr>
      <w:rPr>
        <w:rFonts w:hint="default"/>
        <w:lang w:val="zh-CN" w:eastAsia="zh-CN" w:bidi="zh-CN"/>
      </w:rPr>
    </w:lvl>
    <w:lvl w:ilvl="7" w:tentative="0">
      <w:start w:val="0"/>
      <w:numFmt w:val="bullet"/>
      <w:lvlText w:val="•"/>
      <w:lvlJc w:val="left"/>
      <w:pPr>
        <w:ind w:left="6224" w:hanging="241"/>
      </w:pPr>
      <w:rPr>
        <w:rFonts w:hint="default"/>
        <w:lang w:val="zh-CN" w:eastAsia="zh-CN" w:bidi="zh-CN"/>
      </w:rPr>
    </w:lvl>
    <w:lvl w:ilvl="8" w:tentative="0">
      <w:start w:val="0"/>
      <w:numFmt w:val="bullet"/>
      <w:lvlText w:val="•"/>
      <w:lvlJc w:val="left"/>
      <w:pPr>
        <w:ind w:left="7111" w:hanging="241"/>
      </w:pPr>
      <w:rPr>
        <w:rFonts w:hint="default"/>
        <w:lang w:val="zh-CN" w:eastAsia="zh-CN" w:bidi="zh-CN"/>
      </w:rPr>
    </w:lvl>
  </w:abstractNum>
  <w:num w:numId="1">
    <w:abstractNumId w:val="16"/>
  </w:num>
  <w:num w:numId="2">
    <w:abstractNumId w:val="24"/>
  </w:num>
  <w:num w:numId="3">
    <w:abstractNumId w:val="2"/>
  </w:num>
  <w:num w:numId="4">
    <w:abstractNumId w:val="25"/>
  </w:num>
  <w:num w:numId="5">
    <w:abstractNumId w:val="14"/>
  </w:num>
  <w:num w:numId="6">
    <w:abstractNumId w:val="8"/>
  </w:num>
  <w:num w:numId="7">
    <w:abstractNumId w:val="5"/>
  </w:num>
  <w:num w:numId="8">
    <w:abstractNumId w:val="18"/>
  </w:num>
  <w:num w:numId="9">
    <w:abstractNumId w:val="4"/>
  </w:num>
  <w:num w:numId="10">
    <w:abstractNumId w:val="26"/>
  </w:num>
  <w:num w:numId="11">
    <w:abstractNumId w:val="9"/>
  </w:num>
  <w:num w:numId="12">
    <w:abstractNumId w:val="6"/>
  </w:num>
  <w:num w:numId="13">
    <w:abstractNumId w:val="10"/>
  </w:num>
  <w:num w:numId="14">
    <w:abstractNumId w:val="15"/>
  </w:num>
  <w:num w:numId="15">
    <w:abstractNumId w:val="3"/>
  </w:num>
  <w:num w:numId="16">
    <w:abstractNumId w:val="19"/>
  </w:num>
  <w:num w:numId="17">
    <w:abstractNumId w:val="7"/>
  </w:num>
  <w:num w:numId="18">
    <w:abstractNumId w:val="17"/>
  </w:num>
  <w:num w:numId="19">
    <w:abstractNumId w:val="23"/>
  </w:num>
  <w:num w:numId="20">
    <w:abstractNumId w:val="21"/>
  </w:num>
  <w:num w:numId="21">
    <w:abstractNumId w:val="12"/>
  </w:num>
  <w:num w:numId="22">
    <w:abstractNumId w:val="22"/>
  </w:num>
  <w:num w:numId="23">
    <w:abstractNumId w:val="0"/>
  </w:num>
  <w:num w:numId="24">
    <w:abstractNumId w:val="20"/>
  </w:num>
  <w:num w:numId="25">
    <w:abstractNumId w:val="11"/>
  </w:num>
  <w:num w:numId="26">
    <w:abstractNumId w:val="13"/>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DdjZThhMzAyYmY1YWMzMzIyNmI5YjZiNGU2YjUifQ=="/>
  </w:docVars>
  <w:rsids>
    <w:rsidRoot w:val="00B80010"/>
    <w:rsid w:val="00025FA7"/>
    <w:rsid w:val="00040362"/>
    <w:rsid w:val="00057AFB"/>
    <w:rsid w:val="0008295E"/>
    <w:rsid w:val="00092BBD"/>
    <w:rsid w:val="000A1F7F"/>
    <w:rsid w:val="000C05D0"/>
    <w:rsid w:val="000C194D"/>
    <w:rsid w:val="000C517F"/>
    <w:rsid w:val="00105CDD"/>
    <w:rsid w:val="001154D3"/>
    <w:rsid w:val="00136836"/>
    <w:rsid w:val="001552BE"/>
    <w:rsid w:val="00161498"/>
    <w:rsid w:val="001814F4"/>
    <w:rsid w:val="00182947"/>
    <w:rsid w:val="001A60D4"/>
    <w:rsid w:val="001D2A1A"/>
    <w:rsid w:val="001F770D"/>
    <w:rsid w:val="002251F2"/>
    <w:rsid w:val="00244B88"/>
    <w:rsid w:val="002B16D3"/>
    <w:rsid w:val="003738DC"/>
    <w:rsid w:val="00385C3A"/>
    <w:rsid w:val="00436563"/>
    <w:rsid w:val="0047355E"/>
    <w:rsid w:val="00485903"/>
    <w:rsid w:val="00487E58"/>
    <w:rsid w:val="004D6E00"/>
    <w:rsid w:val="00505E3C"/>
    <w:rsid w:val="00507924"/>
    <w:rsid w:val="005613AB"/>
    <w:rsid w:val="005A0694"/>
    <w:rsid w:val="005D2929"/>
    <w:rsid w:val="005D6DD4"/>
    <w:rsid w:val="00606E6F"/>
    <w:rsid w:val="006111A3"/>
    <w:rsid w:val="00641413"/>
    <w:rsid w:val="006911B5"/>
    <w:rsid w:val="006B2FA0"/>
    <w:rsid w:val="006F35A4"/>
    <w:rsid w:val="00756A63"/>
    <w:rsid w:val="00772065"/>
    <w:rsid w:val="00782412"/>
    <w:rsid w:val="007A67C5"/>
    <w:rsid w:val="0082679C"/>
    <w:rsid w:val="00865485"/>
    <w:rsid w:val="008845A3"/>
    <w:rsid w:val="00967580"/>
    <w:rsid w:val="00995B1E"/>
    <w:rsid w:val="009A0F28"/>
    <w:rsid w:val="009D6C2E"/>
    <w:rsid w:val="009E0E13"/>
    <w:rsid w:val="00A021F8"/>
    <w:rsid w:val="00A115C4"/>
    <w:rsid w:val="00A27D52"/>
    <w:rsid w:val="00A52ACE"/>
    <w:rsid w:val="00AC2F8F"/>
    <w:rsid w:val="00AD267F"/>
    <w:rsid w:val="00AE5DC5"/>
    <w:rsid w:val="00B23113"/>
    <w:rsid w:val="00B5735F"/>
    <w:rsid w:val="00B76F0B"/>
    <w:rsid w:val="00B80010"/>
    <w:rsid w:val="00BA78D3"/>
    <w:rsid w:val="00C023F5"/>
    <w:rsid w:val="00C024EE"/>
    <w:rsid w:val="00C2451D"/>
    <w:rsid w:val="00C34C12"/>
    <w:rsid w:val="00C4230F"/>
    <w:rsid w:val="00C84D05"/>
    <w:rsid w:val="00C87195"/>
    <w:rsid w:val="00D46987"/>
    <w:rsid w:val="00D81F1D"/>
    <w:rsid w:val="00E27F8B"/>
    <w:rsid w:val="00EA4D06"/>
    <w:rsid w:val="00EB59B4"/>
    <w:rsid w:val="00EC40F6"/>
    <w:rsid w:val="00FA3591"/>
    <w:rsid w:val="00FE4082"/>
    <w:rsid w:val="00FE5DE6"/>
    <w:rsid w:val="00FF4B1A"/>
    <w:rsid w:val="01BB3CD7"/>
    <w:rsid w:val="020C3820"/>
    <w:rsid w:val="044D18D5"/>
    <w:rsid w:val="051104C1"/>
    <w:rsid w:val="054001E8"/>
    <w:rsid w:val="05D14881"/>
    <w:rsid w:val="06102109"/>
    <w:rsid w:val="070003AB"/>
    <w:rsid w:val="08DA1D44"/>
    <w:rsid w:val="092C5322"/>
    <w:rsid w:val="0996543A"/>
    <w:rsid w:val="09AA2747"/>
    <w:rsid w:val="09C83435"/>
    <w:rsid w:val="0A2C2DD5"/>
    <w:rsid w:val="0A656ED5"/>
    <w:rsid w:val="0A6939AD"/>
    <w:rsid w:val="0A9A5E77"/>
    <w:rsid w:val="0BD7729B"/>
    <w:rsid w:val="0C846527"/>
    <w:rsid w:val="0CCB59F8"/>
    <w:rsid w:val="0D4F64A3"/>
    <w:rsid w:val="0E376AA1"/>
    <w:rsid w:val="0EC71F0D"/>
    <w:rsid w:val="104D5231"/>
    <w:rsid w:val="106E299B"/>
    <w:rsid w:val="109067CD"/>
    <w:rsid w:val="10A42EC0"/>
    <w:rsid w:val="10BB3D54"/>
    <w:rsid w:val="112767B4"/>
    <w:rsid w:val="12F5531F"/>
    <w:rsid w:val="134A286F"/>
    <w:rsid w:val="134C7071"/>
    <w:rsid w:val="138727CF"/>
    <w:rsid w:val="14D879AD"/>
    <w:rsid w:val="154058E7"/>
    <w:rsid w:val="15EE4223"/>
    <w:rsid w:val="17990FAC"/>
    <w:rsid w:val="179E0326"/>
    <w:rsid w:val="18352195"/>
    <w:rsid w:val="18515A67"/>
    <w:rsid w:val="198D7147"/>
    <w:rsid w:val="19F24C78"/>
    <w:rsid w:val="1A4021A1"/>
    <w:rsid w:val="1C5446B4"/>
    <w:rsid w:val="1CAA2FBE"/>
    <w:rsid w:val="1DD6603A"/>
    <w:rsid w:val="1E7766B5"/>
    <w:rsid w:val="1EAF2B27"/>
    <w:rsid w:val="1EC240DE"/>
    <w:rsid w:val="1EE76D93"/>
    <w:rsid w:val="20A106AC"/>
    <w:rsid w:val="22101E6E"/>
    <w:rsid w:val="23456B9C"/>
    <w:rsid w:val="267A71C5"/>
    <w:rsid w:val="26B27075"/>
    <w:rsid w:val="2787548C"/>
    <w:rsid w:val="27D616A9"/>
    <w:rsid w:val="27E02B6D"/>
    <w:rsid w:val="289D3702"/>
    <w:rsid w:val="2A7C7BF7"/>
    <w:rsid w:val="2AEC0EED"/>
    <w:rsid w:val="2C6E0BDB"/>
    <w:rsid w:val="2CCA3F3F"/>
    <w:rsid w:val="2E0066A5"/>
    <w:rsid w:val="2E3B3022"/>
    <w:rsid w:val="2E3C7019"/>
    <w:rsid w:val="2E646AF3"/>
    <w:rsid w:val="2EFC3495"/>
    <w:rsid w:val="2F0125F5"/>
    <w:rsid w:val="2F1A1385"/>
    <w:rsid w:val="310E3363"/>
    <w:rsid w:val="313C5B2B"/>
    <w:rsid w:val="32795E86"/>
    <w:rsid w:val="32A8040E"/>
    <w:rsid w:val="32E0684A"/>
    <w:rsid w:val="335F610E"/>
    <w:rsid w:val="338D69D1"/>
    <w:rsid w:val="349D7221"/>
    <w:rsid w:val="363D487E"/>
    <w:rsid w:val="373E5C35"/>
    <w:rsid w:val="381F4ADD"/>
    <w:rsid w:val="3862042D"/>
    <w:rsid w:val="386845FE"/>
    <w:rsid w:val="3A86735A"/>
    <w:rsid w:val="3ACB24A5"/>
    <w:rsid w:val="3D231796"/>
    <w:rsid w:val="3D4F2D09"/>
    <w:rsid w:val="3DE36457"/>
    <w:rsid w:val="3F6C37C0"/>
    <w:rsid w:val="401461DE"/>
    <w:rsid w:val="40356427"/>
    <w:rsid w:val="409B3A2C"/>
    <w:rsid w:val="40BC5802"/>
    <w:rsid w:val="416E66BC"/>
    <w:rsid w:val="428A3469"/>
    <w:rsid w:val="436F5B32"/>
    <w:rsid w:val="45080834"/>
    <w:rsid w:val="456F23DB"/>
    <w:rsid w:val="45F03BB4"/>
    <w:rsid w:val="46444192"/>
    <w:rsid w:val="467F6605"/>
    <w:rsid w:val="47812E52"/>
    <w:rsid w:val="48242390"/>
    <w:rsid w:val="484069B3"/>
    <w:rsid w:val="487200C3"/>
    <w:rsid w:val="4930318F"/>
    <w:rsid w:val="4A5253FB"/>
    <w:rsid w:val="4A873CD0"/>
    <w:rsid w:val="4AD174F7"/>
    <w:rsid w:val="4B6C64DD"/>
    <w:rsid w:val="4BA10C1B"/>
    <w:rsid w:val="4BE81DCA"/>
    <w:rsid w:val="4E262316"/>
    <w:rsid w:val="4EE0273C"/>
    <w:rsid w:val="4F532F76"/>
    <w:rsid w:val="4FCA6F0D"/>
    <w:rsid w:val="53D818B0"/>
    <w:rsid w:val="55EE2EA8"/>
    <w:rsid w:val="55F776ED"/>
    <w:rsid w:val="56916D14"/>
    <w:rsid w:val="574472CC"/>
    <w:rsid w:val="578A36D0"/>
    <w:rsid w:val="58106FD5"/>
    <w:rsid w:val="583841C8"/>
    <w:rsid w:val="5867040E"/>
    <w:rsid w:val="591C6869"/>
    <w:rsid w:val="5B7056A3"/>
    <w:rsid w:val="5B7F1126"/>
    <w:rsid w:val="5E7A342E"/>
    <w:rsid w:val="5EB82FA4"/>
    <w:rsid w:val="5F776541"/>
    <w:rsid w:val="5FE8557D"/>
    <w:rsid w:val="60393ED4"/>
    <w:rsid w:val="611C2FBF"/>
    <w:rsid w:val="61437A6E"/>
    <w:rsid w:val="629C09DC"/>
    <w:rsid w:val="637211FD"/>
    <w:rsid w:val="63787468"/>
    <w:rsid w:val="66636F9A"/>
    <w:rsid w:val="66DD79B9"/>
    <w:rsid w:val="67B62AF5"/>
    <w:rsid w:val="68697DA4"/>
    <w:rsid w:val="68D86187"/>
    <w:rsid w:val="6A400536"/>
    <w:rsid w:val="6B56531F"/>
    <w:rsid w:val="6C064616"/>
    <w:rsid w:val="6CA06932"/>
    <w:rsid w:val="6CEA2128"/>
    <w:rsid w:val="6CF66581"/>
    <w:rsid w:val="6DE7192A"/>
    <w:rsid w:val="6E970FCA"/>
    <w:rsid w:val="6FC43D64"/>
    <w:rsid w:val="71327C95"/>
    <w:rsid w:val="7205184D"/>
    <w:rsid w:val="74C02937"/>
    <w:rsid w:val="75DC28C5"/>
    <w:rsid w:val="76A2766B"/>
    <w:rsid w:val="785A1950"/>
    <w:rsid w:val="78D278E0"/>
    <w:rsid w:val="791D69FF"/>
    <w:rsid w:val="7975157B"/>
    <w:rsid w:val="7B1E2026"/>
    <w:rsid w:val="7B25660A"/>
    <w:rsid w:val="7BD52602"/>
    <w:rsid w:val="7E0C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7"/>
    <w:qFormat/>
    <w:uiPriority w:val="1"/>
    <w:pPr>
      <w:keepNext/>
      <w:keepLines/>
      <w:spacing w:before="340" w:after="330" w:line="576" w:lineRule="auto"/>
      <w:outlineLvl w:val="0"/>
    </w:pPr>
    <w:rPr>
      <w:b/>
      <w:bCs/>
      <w:kern w:val="44"/>
      <w:sz w:val="44"/>
      <w:szCs w:val="44"/>
    </w:rPr>
  </w:style>
  <w:style w:type="paragraph" w:styleId="4">
    <w:name w:val="heading 2"/>
    <w:basedOn w:val="1"/>
    <w:next w:val="1"/>
    <w:link w:val="38"/>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link w:val="4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paragraph" w:styleId="7">
    <w:name w:val="heading 5"/>
    <w:basedOn w:val="1"/>
    <w:next w:val="1"/>
    <w:qFormat/>
    <w:uiPriority w:val="0"/>
    <w:pPr>
      <w:keepNext/>
      <w:keepLines/>
      <w:spacing w:line="372" w:lineRule="auto"/>
      <w:outlineLvl w:val="4"/>
    </w:pPr>
    <w:rPr>
      <w:b/>
      <w:bCs/>
      <w:sz w:val="28"/>
      <w:szCs w:val="28"/>
    </w:rPr>
  </w:style>
  <w:style w:type="character" w:default="1" w:styleId="22">
    <w:name w:val="Default Paragraph Font"/>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customStyle="1" w:styleId="2">
    <w:name w:val="列表段落1"/>
    <w:basedOn w:val="1"/>
    <w:qFormat/>
    <w:uiPriority w:val="99"/>
    <w:pPr>
      <w:ind w:firstLine="420" w:firstLineChars="200"/>
    </w:pPr>
  </w:style>
  <w:style w:type="paragraph" w:styleId="8">
    <w:name w:val="annotation text"/>
    <w:basedOn w:val="1"/>
    <w:next w:val="1"/>
    <w:link w:val="48"/>
    <w:semiHidden/>
    <w:unhideWhenUsed/>
    <w:qFormat/>
    <w:uiPriority w:val="99"/>
    <w:pPr>
      <w:jc w:val="left"/>
    </w:pPr>
    <w:rPr>
      <w:kern w:val="0"/>
      <w:sz w:val="20"/>
    </w:rPr>
  </w:style>
  <w:style w:type="paragraph" w:styleId="9">
    <w:name w:val="Body Text"/>
    <w:basedOn w:val="1"/>
    <w:link w:val="43"/>
    <w:qFormat/>
    <w:uiPriority w:val="1"/>
    <w:pPr>
      <w:autoSpaceDE w:val="0"/>
      <w:autoSpaceDN w:val="0"/>
      <w:jc w:val="left"/>
    </w:pPr>
    <w:rPr>
      <w:rFonts w:ascii="宋体" w:hAnsi="宋体" w:cs="宋体"/>
      <w:kern w:val="0"/>
      <w:sz w:val="24"/>
      <w:szCs w:val="24"/>
      <w:lang w:val="zh-CN" w:bidi="zh-CN"/>
    </w:rPr>
  </w:style>
  <w:style w:type="paragraph" w:styleId="10">
    <w:name w:val="Body Text Indent"/>
    <w:basedOn w:val="1"/>
    <w:next w:val="11"/>
    <w:link w:val="51"/>
    <w:semiHidden/>
    <w:unhideWhenUsed/>
    <w:qFormat/>
    <w:uiPriority w:val="99"/>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40"/>
    <w:unhideWhenUsed/>
    <w:qFormat/>
    <w:uiPriority w:val="0"/>
    <w:rPr>
      <w:rFonts w:ascii="宋体" w:hAnsi="Courier New"/>
      <w:szCs w:val="22"/>
    </w:rPr>
  </w:style>
  <w:style w:type="paragraph" w:styleId="13">
    <w:name w:val="Balloon Text"/>
    <w:basedOn w:val="1"/>
    <w:link w:val="3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9"/>
    <w:link w:val="57"/>
    <w:semiHidden/>
    <w:unhideWhenUsed/>
    <w:qFormat/>
    <w:uiPriority w:val="99"/>
    <w:pPr>
      <w:autoSpaceDE/>
      <w:autoSpaceDN/>
      <w:spacing w:after="120"/>
      <w:ind w:firstLine="420" w:firstLineChars="100"/>
      <w:jc w:val="both"/>
    </w:pPr>
    <w:rPr>
      <w:rFonts w:ascii="Times New Roman" w:hAnsi="Times New Roman" w:cs="Times New Roman"/>
      <w:kern w:val="2"/>
      <w:sz w:val="21"/>
      <w:szCs w:val="21"/>
      <w:lang w:val="en-US" w:bidi="ar-SA"/>
    </w:rPr>
  </w:style>
  <w:style w:type="paragraph" w:styleId="19">
    <w:name w:val="Body Text First Indent 2"/>
    <w:basedOn w:val="10"/>
    <w:link w:val="52"/>
    <w:qFormat/>
    <w:uiPriority w:val="0"/>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none"/>
    </w:rPr>
  </w:style>
  <w:style w:type="character" w:customStyle="1" w:styleId="24">
    <w:name w:val="页眉 Char1"/>
    <w:basedOn w:val="22"/>
    <w:link w:val="15"/>
    <w:qFormat/>
    <w:uiPriority w:val="99"/>
    <w:rPr>
      <w:sz w:val="18"/>
      <w:szCs w:val="18"/>
    </w:rPr>
  </w:style>
  <w:style w:type="character" w:customStyle="1" w:styleId="25">
    <w:name w:val="页脚 Char1"/>
    <w:basedOn w:val="22"/>
    <w:link w:val="14"/>
    <w:qFormat/>
    <w:uiPriority w:val="99"/>
    <w:rPr>
      <w:sz w:val="18"/>
      <w:szCs w:val="18"/>
    </w:rPr>
  </w:style>
  <w:style w:type="character" w:customStyle="1" w:styleId="26">
    <w:name w:val="标题 1 字符"/>
    <w:basedOn w:val="22"/>
    <w:qFormat/>
    <w:uiPriority w:val="9"/>
    <w:rPr>
      <w:rFonts w:ascii="Times New Roman" w:hAnsi="Times New Roman" w:eastAsia="宋体" w:cs="Times New Roman"/>
      <w:b/>
      <w:bCs/>
      <w:kern w:val="44"/>
      <w:sz w:val="44"/>
      <w:szCs w:val="44"/>
    </w:rPr>
  </w:style>
  <w:style w:type="character" w:customStyle="1" w:styleId="27">
    <w:name w:val="标题 2 字符"/>
    <w:basedOn w:val="22"/>
    <w:semiHidden/>
    <w:qFormat/>
    <w:uiPriority w:val="9"/>
    <w:rPr>
      <w:rFonts w:asciiTheme="majorHAnsi" w:hAnsiTheme="majorHAnsi" w:eastAsiaTheme="majorEastAsia" w:cstheme="majorBidi"/>
      <w:b/>
      <w:bCs/>
      <w:sz w:val="32"/>
      <w:szCs w:val="32"/>
    </w:rPr>
  </w:style>
  <w:style w:type="character" w:customStyle="1" w:styleId="28">
    <w:name w:val="标题 3 字符"/>
    <w:basedOn w:val="22"/>
    <w:semiHidden/>
    <w:qFormat/>
    <w:uiPriority w:val="9"/>
    <w:rPr>
      <w:rFonts w:ascii="Times New Roman" w:hAnsi="Times New Roman" w:eastAsia="宋体" w:cs="Times New Roman"/>
      <w:b/>
      <w:bCs/>
      <w:sz w:val="32"/>
      <w:szCs w:val="32"/>
    </w:rPr>
  </w:style>
  <w:style w:type="character" w:customStyle="1" w:styleId="29">
    <w:name w:val="标题 4 字符"/>
    <w:basedOn w:val="22"/>
    <w:semiHidden/>
    <w:qFormat/>
    <w:uiPriority w:val="9"/>
    <w:rPr>
      <w:rFonts w:asciiTheme="majorHAnsi" w:hAnsiTheme="majorHAnsi" w:eastAsiaTheme="majorEastAsia" w:cstheme="majorBidi"/>
      <w:b/>
      <w:bCs/>
      <w:sz w:val="28"/>
      <w:szCs w:val="28"/>
    </w:rPr>
  </w:style>
  <w:style w:type="character" w:customStyle="1" w:styleId="30">
    <w:name w:val="页眉 Char"/>
    <w:qFormat/>
    <w:uiPriority w:val="99"/>
    <w:rPr>
      <w:sz w:val="18"/>
      <w:szCs w:val="18"/>
    </w:rPr>
  </w:style>
  <w:style w:type="character" w:customStyle="1" w:styleId="31">
    <w:name w:val="页脚 Char"/>
    <w:qFormat/>
    <w:uiPriority w:val="99"/>
    <w:rPr>
      <w:sz w:val="18"/>
      <w:szCs w:val="18"/>
    </w:rPr>
  </w:style>
  <w:style w:type="character" w:customStyle="1" w:styleId="32">
    <w:name w:val="style3"/>
    <w:qFormat/>
    <w:uiPriority w:val="0"/>
  </w:style>
  <w:style w:type="paragraph" w:customStyle="1" w:styleId="33">
    <w:name w:val="_Style 18"/>
    <w:basedOn w:val="1"/>
    <w:next w:val="34"/>
    <w:qFormat/>
    <w:uiPriority w:val="1"/>
    <w:pPr>
      <w:autoSpaceDE w:val="0"/>
      <w:autoSpaceDN w:val="0"/>
      <w:ind w:left="234" w:firstLine="434"/>
      <w:jc w:val="left"/>
    </w:pPr>
    <w:rPr>
      <w:rFonts w:ascii="宋体" w:hAnsi="宋体" w:cs="宋体"/>
      <w:kern w:val="0"/>
      <w:sz w:val="22"/>
      <w:szCs w:val="22"/>
      <w:lang w:val="zh-CN" w:bidi="zh-CN"/>
    </w:rPr>
  </w:style>
  <w:style w:type="paragraph" w:styleId="34">
    <w:name w:val="List Paragraph"/>
    <w:basedOn w:val="1"/>
    <w:qFormat/>
    <w:uiPriority w:val="34"/>
    <w:pPr>
      <w:ind w:firstLine="420" w:firstLineChars="200"/>
    </w:pPr>
  </w:style>
  <w:style w:type="character" w:customStyle="1" w:styleId="35">
    <w:name w:val="批注框文本 字符"/>
    <w:basedOn w:val="22"/>
    <w:semiHidden/>
    <w:qFormat/>
    <w:uiPriority w:val="99"/>
    <w:rPr>
      <w:rFonts w:ascii="Times New Roman" w:hAnsi="Times New Roman" w:eastAsia="宋体" w:cs="Times New Roman"/>
      <w:sz w:val="18"/>
      <w:szCs w:val="18"/>
    </w:rPr>
  </w:style>
  <w:style w:type="character" w:customStyle="1" w:styleId="36">
    <w:name w:val="批注框文本 Char"/>
    <w:link w:val="13"/>
    <w:semiHidden/>
    <w:qFormat/>
    <w:uiPriority w:val="99"/>
    <w:rPr>
      <w:rFonts w:ascii="Times New Roman" w:hAnsi="Times New Roman" w:eastAsia="宋体" w:cs="Times New Roman"/>
      <w:sz w:val="18"/>
      <w:szCs w:val="18"/>
    </w:rPr>
  </w:style>
  <w:style w:type="character" w:customStyle="1" w:styleId="37">
    <w:name w:val="标题 1 Char"/>
    <w:link w:val="3"/>
    <w:qFormat/>
    <w:uiPriority w:val="1"/>
    <w:rPr>
      <w:rFonts w:ascii="Times New Roman" w:hAnsi="Times New Roman" w:eastAsia="宋体" w:cs="Times New Roman"/>
      <w:b/>
      <w:bCs/>
      <w:kern w:val="44"/>
      <w:sz w:val="44"/>
      <w:szCs w:val="44"/>
    </w:rPr>
  </w:style>
  <w:style w:type="character" w:customStyle="1" w:styleId="38">
    <w:name w:val="标题 2 Char"/>
    <w:link w:val="4"/>
    <w:qFormat/>
    <w:uiPriority w:val="1"/>
    <w:rPr>
      <w:rFonts w:ascii="Arial" w:hAnsi="Arial" w:eastAsia="黑体" w:cs="Arial"/>
      <w:b/>
      <w:bCs/>
      <w:sz w:val="32"/>
      <w:szCs w:val="32"/>
    </w:rPr>
  </w:style>
  <w:style w:type="character" w:customStyle="1" w:styleId="39">
    <w:name w:val="纯文本 字符"/>
    <w:basedOn w:val="22"/>
    <w:semiHidden/>
    <w:qFormat/>
    <w:uiPriority w:val="99"/>
    <w:rPr>
      <w:rFonts w:hAnsi="Courier New" w:cs="Courier New" w:asciiTheme="minorEastAsia"/>
      <w:szCs w:val="21"/>
    </w:rPr>
  </w:style>
  <w:style w:type="character" w:customStyle="1" w:styleId="40">
    <w:name w:val="纯文本 Char"/>
    <w:link w:val="12"/>
    <w:qFormat/>
    <w:uiPriority w:val="0"/>
    <w:rPr>
      <w:rFonts w:ascii="宋体" w:hAnsi="Courier New" w:eastAsia="宋体" w:cs="Times New Roman"/>
    </w:rPr>
  </w:style>
  <w:style w:type="character" w:customStyle="1" w:styleId="41">
    <w:name w:val="标题 4 Char"/>
    <w:link w:val="6"/>
    <w:qFormat/>
    <w:uiPriority w:val="1"/>
    <w:rPr>
      <w:rFonts w:ascii="Cambria" w:hAnsi="Cambria" w:eastAsia="宋体" w:cs="Times New Roman"/>
      <w:b/>
      <w:bCs/>
      <w:sz w:val="28"/>
      <w:szCs w:val="28"/>
    </w:rPr>
  </w:style>
  <w:style w:type="character" w:customStyle="1" w:styleId="42">
    <w:name w:val="正文文本 字符"/>
    <w:basedOn w:val="22"/>
    <w:semiHidden/>
    <w:qFormat/>
    <w:uiPriority w:val="99"/>
    <w:rPr>
      <w:rFonts w:ascii="Times New Roman" w:hAnsi="Times New Roman" w:eastAsia="宋体" w:cs="Times New Roman"/>
      <w:szCs w:val="21"/>
    </w:rPr>
  </w:style>
  <w:style w:type="character" w:customStyle="1" w:styleId="43">
    <w:name w:val="正文文本 Char"/>
    <w:link w:val="9"/>
    <w:qFormat/>
    <w:uiPriority w:val="1"/>
    <w:rPr>
      <w:rFonts w:ascii="宋体" w:hAnsi="宋体" w:eastAsia="宋体" w:cs="宋体"/>
      <w:kern w:val="0"/>
      <w:sz w:val="24"/>
      <w:szCs w:val="24"/>
      <w:lang w:val="zh-CN" w:bidi="zh-CN"/>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6">
    <w:name w:val="标题 3 Char"/>
    <w:link w:val="5"/>
    <w:qFormat/>
    <w:uiPriority w:val="9"/>
    <w:rPr>
      <w:rFonts w:ascii="Times New Roman" w:hAnsi="Times New Roman" w:eastAsia="宋体" w:cs="Times New Roman"/>
      <w:b/>
      <w:bCs/>
      <w:sz w:val="32"/>
      <w:szCs w:val="32"/>
    </w:rPr>
  </w:style>
  <w:style w:type="character" w:customStyle="1" w:styleId="47">
    <w:name w:val="批注文字 字符"/>
    <w:basedOn w:val="22"/>
    <w:semiHidden/>
    <w:qFormat/>
    <w:uiPriority w:val="99"/>
    <w:rPr>
      <w:rFonts w:ascii="Times New Roman" w:hAnsi="Times New Roman" w:eastAsia="宋体" w:cs="Times New Roman"/>
      <w:szCs w:val="21"/>
    </w:rPr>
  </w:style>
  <w:style w:type="character" w:customStyle="1" w:styleId="48">
    <w:name w:val="批注文字 Char"/>
    <w:link w:val="8"/>
    <w:semiHidden/>
    <w:qFormat/>
    <w:uiPriority w:val="99"/>
    <w:rPr>
      <w:rFonts w:ascii="Times New Roman" w:hAnsi="Times New Roman" w:eastAsia="宋体" w:cs="Times New Roman"/>
      <w:kern w:val="0"/>
      <w:sz w:val="20"/>
      <w:szCs w:val="21"/>
    </w:rPr>
  </w:style>
  <w:style w:type="paragraph" w:customStyle="1" w:styleId="49">
    <w:name w:val="p15"/>
    <w:basedOn w:val="1"/>
    <w:next w:val="8"/>
    <w:qFormat/>
    <w:uiPriority w:val="99"/>
    <w:pPr>
      <w:widowControl/>
    </w:pPr>
    <w:rPr>
      <w:kern w:val="0"/>
    </w:rPr>
  </w:style>
  <w:style w:type="character" w:customStyle="1" w:styleId="50">
    <w:name w:val="批注框文本 字符1"/>
    <w:semiHidden/>
    <w:qFormat/>
    <w:uiPriority w:val="99"/>
    <w:rPr>
      <w:rFonts w:ascii="Times New Roman" w:hAnsi="Times New Roman" w:eastAsia="宋体" w:cs="Times New Roman"/>
      <w:sz w:val="18"/>
      <w:szCs w:val="18"/>
    </w:rPr>
  </w:style>
  <w:style w:type="character" w:customStyle="1" w:styleId="51">
    <w:name w:val="正文文本缩进 Char"/>
    <w:basedOn w:val="22"/>
    <w:link w:val="10"/>
    <w:semiHidden/>
    <w:qFormat/>
    <w:uiPriority w:val="99"/>
    <w:rPr>
      <w:rFonts w:ascii="Times New Roman" w:hAnsi="Times New Roman" w:eastAsia="宋体" w:cs="Times New Roman"/>
      <w:szCs w:val="21"/>
    </w:rPr>
  </w:style>
  <w:style w:type="character" w:customStyle="1" w:styleId="52">
    <w:name w:val="正文首行缩进 2 Char"/>
    <w:basedOn w:val="51"/>
    <w:link w:val="19"/>
    <w:qFormat/>
    <w:uiPriority w:val="0"/>
    <w:rPr>
      <w:rFonts w:ascii="Times New Roman" w:hAnsi="Times New Roman" w:eastAsia="宋体" w:cs="Times New Roman"/>
      <w:szCs w:val="21"/>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4">
    <w:name w:val="Char Char Char Char Char Char Char1 Char"/>
    <w:basedOn w:val="1"/>
    <w:qFormat/>
    <w:uiPriority w:val="0"/>
    <w:rPr>
      <w:rFonts w:ascii="Tahoma" w:hAnsi="Tahoma"/>
      <w:sz w:val="24"/>
    </w:rPr>
  </w:style>
  <w:style w:type="character" w:customStyle="1" w:styleId="55">
    <w:name w:val="not([class*=suffix])"/>
    <w:basedOn w:val="22"/>
    <w:qFormat/>
    <w:uiPriority w:val="0"/>
    <w:rPr>
      <w:sz w:val="19"/>
      <w:szCs w:val="19"/>
    </w:rPr>
  </w:style>
  <w:style w:type="character" w:customStyle="1" w:styleId="56">
    <w:name w:val="not([class*=suffix])1"/>
    <w:basedOn w:val="22"/>
    <w:qFormat/>
    <w:uiPriority w:val="0"/>
  </w:style>
  <w:style w:type="character" w:customStyle="1" w:styleId="57">
    <w:name w:val="正文首行缩进 Char"/>
    <w:basedOn w:val="43"/>
    <w:link w:val="18"/>
    <w:semiHidden/>
    <w:uiPriority w:val="99"/>
    <w:rPr>
      <w:rFonts w:ascii="宋体" w:hAnsi="宋体" w:eastAsia="宋体" w:cs="宋体"/>
      <w:kern w:val="2"/>
      <w:sz w:val="21"/>
      <w:szCs w:val="21"/>
      <w:lang w:val="zh-CN" w:bidi="zh-CN"/>
    </w:rPr>
  </w:style>
  <w:style w:type="paragraph" w:customStyle="1" w:styleId="58">
    <w:name w:val="_Style 57"/>
    <w:basedOn w:val="10"/>
    <w:next w:val="1"/>
    <w:link w:val="60"/>
    <w:unhideWhenUsed/>
    <w:qFormat/>
    <w:uiPriority w:val="0"/>
    <w:pPr>
      <w:ind w:firstLine="420" w:firstLineChars="200"/>
    </w:pPr>
    <w:rPr>
      <w:rFonts w:ascii="Calibri" w:hAnsi="Calibri"/>
      <w:szCs w:val="22"/>
    </w:rPr>
  </w:style>
  <w:style w:type="character" w:customStyle="1" w:styleId="59">
    <w:name w:val="正文文本首行缩进 字符1"/>
    <w:qFormat/>
    <w:uiPriority w:val="99"/>
  </w:style>
  <w:style w:type="character" w:customStyle="1" w:styleId="60">
    <w:name w:val="正文文本首行缩进 2 字符"/>
    <w:link w:val="58"/>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联想电脑（北京）有限公司</Company>
  <Pages>53</Pages>
  <Words>27239</Words>
  <Characters>28299</Characters>
  <Lines>221</Lines>
  <Paragraphs>62</Paragraphs>
  <TotalTime>16</TotalTime>
  <ScaleCrop>false</ScaleCrop>
  <LinksUpToDate>false</LinksUpToDate>
  <CharactersWithSpaces>29562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2024-06-13T03:52:00Z</dcterms:created>
  <dc:creator>Joseph Charles</dc:creator>
  <cp:lastModifiedBy>刺猬</cp:lastModifiedBy>
  <dcterms:modified xsi:type="dcterms:W3CDTF">2024-06-17T02:04:37Z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EAFCA2F171514235B961A4550ABF16E4_13</vt:lpwstr>
  </property>
</Properties>
</file>